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12" w:rsidRPr="00DC4B12" w:rsidRDefault="00DC4B12" w:rsidP="00DC4B12">
      <w:pPr>
        <w:jc w:val="center"/>
        <w:rPr>
          <w:rFonts w:ascii="Times New Roman" w:eastAsia="Calibri" w:hAnsi="Times New Roman" w:cs="Times New Roman"/>
          <w:b/>
          <w:sz w:val="24"/>
          <w:szCs w:val="28"/>
        </w:rPr>
      </w:pPr>
      <w:bookmarkStart w:id="0" w:name="_GoBack"/>
      <w:bookmarkEnd w:id="0"/>
      <w:r w:rsidRPr="00DC4B12">
        <w:rPr>
          <w:rFonts w:ascii="Times New Roman" w:eastAsia="Calibri" w:hAnsi="Times New Roman" w:cs="Times New Roman"/>
          <w:b/>
          <w:sz w:val="24"/>
          <w:szCs w:val="28"/>
        </w:rPr>
        <w:t>Wykaz nieruchomości przeznaczon</w:t>
      </w:r>
      <w:r w:rsidR="006F4B09">
        <w:rPr>
          <w:rFonts w:ascii="Times New Roman" w:eastAsia="Calibri" w:hAnsi="Times New Roman" w:cs="Times New Roman"/>
          <w:b/>
          <w:sz w:val="24"/>
          <w:szCs w:val="28"/>
        </w:rPr>
        <w:t>ej</w:t>
      </w:r>
      <w:r w:rsidRPr="00DC4B12">
        <w:rPr>
          <w:rFonts w:ascii="Times New Roman" w:eastAsia="Calibri" w:hAnsi="Times New Roman" w:cs="Times New Roman"/>
          <w:b/>
          <w:sz w:val="24"/>
          <w:szCs w:val="28"/>
        </w:rPr>
        <w:t xml:space="preserve"> do sprzedaży, stanowiąc</w:t>
      </w:r>
      <w:r w:rsidR="006F4B09">
        <w:rPr>
          <w:rFonts w:ascii="Times New Roman" w:eastAsia="Calibri" w:hAnsi="Times New Roman" w:cs="Times New Roman"/>
          <w:b/>
          <w:sz w:val="24"/>
          <w:szCs w:val="28"/>
        </w:rPr>
        <w:t>ej</w:t>
      </w:r>
      <w:r w:rsidRPr="00DC4B12">
        <w:rPr>
          <w:rFonts w:ascii="Times New Roman" w:eastAsia="Calibri" w:hAnsi="Times New Roman" w:cs="Times New Roman"/>
          <w:b/>
          <w:sz w:val="24"/>
          <w:szCs w:val="28"/>
        </w:rPr>
        <w:t xml:space="preserve"> własność Gminy Skarszewy w </w:t>
      </w:r>
      <w:r>
        <w:rPr>
          <w:rFonts w:ascii="Times New Roman" w:eastAsia="Calibri" w:hAnsi="Times New Roman" w:cs="Times New Roman"/>
          <w:b/>
          <w:sz w:val="24"/>
          <w:szCs w:val="28"/>
        </w:rPr>
        <w:t xml:space="preserve">trybie ustnego przetargu </w:t>
      </w:r>
      <w:r w:rsidRPr="00DC4B12">
        <w:rPr>
          <w:rFonts w:ascii="Times New Roman" w:eastAsia="Calibri" w:hAnsi="Times New Roman" w:cs="Times New Roman"/>
          <w:b/>
          <w:sz w:val="24"/>
          <w:szCs w:val="28"/>
        </w:rPr>
        <w:t>ograniczonego</w:t>
      </w:r>
    </w:p>
    <w:p w:rsidR="00DC4B12" w:rsidRPr="00DC4B12" w:rsidRDefault="00DC4B12" w:rsidP="00DC4B12">
      <w:pPr>
        <w:rPr>
          <w:rFonts w:ascii="Times New Roman" w:eastAsia="Calibri" w:hAnsi="Times New Roman" w:cs="Times New Roman"/>
          <w:bCs/>
          <w:szCs w:val="28"/>
        </w:rPr>
      </w:pPr>
      <w:r w:rsidRPr="00DC4B12">
        <w:rPr>
          <w:rFonts w:ascii="Times New Roman" w:eastAsia="Calibri" w:hAnsi="Times New Roman" w:cs="Times New Roman"/>
          <w:bCs/>
          <w:szCs w:val="28"/>
        </w:rPr>
        <w:t>Na podstawie art. 35 ust. 1  ustawy z dnia 21 sierpnia 1997 r. o gospodarce nieruchomościami (</w:t>
      </w:r>
      <w:proofErr w:type="spellStart"/>
      <w:r w:rsidR="00C741A2" w:rsidRPr="00C741A2">
        <w:rPr>
          <w:rFonts w:ascii="Times New Roman" w:eastAsia="Calibri" w:hAnsi="Times New Roman" w:cs="Times New Roman"/>
          <w:bCs/>
          <w:szCs w:val="28"/>
        </w:rPr>
        <w:t>t.j</w:t>
      </w:r>
      <w:proofErr w:type="spellEnd"/>
      <w:r w:rsidR="00C741A2" w:rsidRPr="00C741A2">
        <w:rPr>
          <w:rFonts w:ascii="Times New Roman" w:eastAsia="Calibri" w:hAnsi="Times New Roman" w:cs="Times New Roman"/>
          <w:bCs/>
          <w:szCs w:val="28"/>
        </w:rPr>
        <w:t>. Dz.U. z 2021 r. poz. 1899 ze zm.</w:t>
      </w:r>
      <w:r w:rsidR="00C741A2">
        <w:rPr>
          <w:rFonts w:ascii="Times New Roman" w:eastAsia="Calibri" w:hAnsi="Times New Roman" w:cs="Times New Roman"/>
          <w:bCs/>
          <w:szCs w:val="28"/>
        </w:rPr>
        <w:t>)</w:t>
      </w:r>
      <w:r w:rsidRPr="00DC4B12">
        <w:rPr>
          <w:rFonts w:ascii="Times New Roman" w:eastAsia="Calibri" w:hAnsi="Times New Roman" w:cs="Times New Roman"/>
          <w:bCs/>
          <w:szCs w:val="28"/>
        </w:rPr>
        <w:t xml:space="preserve"> Burmistrz Skarszew podaje do publicznej wiadomości wykaz nieruchomości przeznaczonych do zbyci</w:t>
      </w:r>
      <w:r>
        <w:rPr>
          <w:rFonts w:ascii="Times New Roman" w:eastAsia="Calibri" w:hAnsi="Times New Roman" w:cs="Times New Roman"/>
          <w:bCs/>
          <w:szCs w:val="28"/>
        </w:rPr>
        <w:t xml:space="preserve">a w drodze ustnego przetargu </w:t>
      </w:r>
      <w:r w:rsidRPr="00DC4B12">
        <w:rPr>
          <w:rFonts w:ascii="Times New Roman" w:eastAsia="Calibri" w:hAnsi="Times New Roman" w:cs="Times New Roman"/>
          <w:bCs/>
          <w:szCs w:val="28"/>
        </w:rPr>
        <w:t>ograniczonego.</w:t>
      </w:r>
    </w:p>
    <w:tbl>
      <w:tblPr>
        <w:tblW w:w="161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4396"/>
        <w:gridCol w:w="1417"/>
        <w:gridCol w:w="5670"/>
        <w:gridCol w:w="992"/>
        <w:gridCol w:w="1560"/>
        <w:gridCol w:w="1559"/>
      </w:tblGrid>
      <w:tr w:rsidR="00623989" w:rsidRPr="00DC4B12" w:rsidTr="001F0C87">
        <w:trPr>
          <w:trHeight w:val="582"/>
        </w:trPr>
        <w:tc>
          <w:tcPr>
            <w:tcW w:w="566" w:type="dxa"/>
            <w:vMerge w:val="restart"/>
          </w:tcPr>
          <w:p w:rsidR="00DC4B12" w:rsidRPr="00DC4B12" w:rsidRDefault="00DC4B12" w:rsidP="00DC4B12">
            <w:pPr>
              <w:spacing w:after="0" w:line="240" w:lineRule="auto"/>
              <w:rPr>
                <w:rFonts w:ascii="Calibri" w:eastAsia="Calibri" w:hAnsi="Calibri" w:cs="Calibri"/>
                <w:sz w:val="20"/>
                <w:szCs w:val="20"/>
              </w:rPr>
            </w:pPr>
          </w:p>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Lp.</w:t>
            </w:r>
          </w:p>
        </w:tc>
        <w:tc>
          <w:tcPr>
            <w:tcW w:w="4396" w:type="dxa"/>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Oznaczenie nieruchomości wg ewidencji</w:t>
            </w:r>
          </w:p>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Nr księgi wieczystej</w:t>
            </w:r>
          </w:p>
        </w:tc>
        <w:tc>
          <w:tcPr>
            <w:tcW w:w="1417" w:type="dxa"/>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Powierzchnia działki</w:t>
            </w:r>
          </w:p>
          <w:p w:rsidR="00DC4B12" w:rsidRPr="00DC4B12" w:rsidRDefault="00DC4B12" w:rsidP="00DC4B12">
            <w:pPr>
              <w:spacing w:after="0" w:line="240" w:lineRule="auto"/>
              <w:rPr>
                <w:rFonts w:ascii="Calibri" w:eastAsia="Calibri" w:hAnsi="Calibri" w:cs="Calibri"/>
                <w:sz w:val="20"/>
                <w:szCs w:val="20"/>
              </w:rPr>
            </w:pPr>
          </w:p>
        </w:tc>
        <w:tc>
          <w:tcPr>
            <w:tcW w:w="5670" w:type="dxa"/>
            <w:vMerge w:val="restart"/>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Przeznaczenie</w:t>
            </w:r>
          </w:p>
        </w:tc>
        <w:tc>
          <w:tcPr>
            <w:tcW w:w="992" w:type="dxa"/>
            <w:vMerge w:val="restart"/>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 xml:space="preserve">Termin </w:t>
            </w:r>
            <w:proofErr w:type="spellStart"/>
            <w:r w:rsidRPr="00DC4B12">
              <w:rPr>
                <w:rFonts w:ascii="Calibri" w:eastAsia="Calibri" w:hAnsi="Calibri" w:cs="Calibri"/>
                <w:sz w:val="20"/>
                <w:szCs w:val="20"/>
              </w:rPr>
              <w:t>zagosp</w:t>
            </w:r>
            <w:proofErr w:type="spellEnd"/>
            <w:r w:rsidRPr="00DC4B12">
              <w:rPr>
                <w:rFonts w:ascii="Calibri" w:eastAsia="Calibri" w:hAnsi="Calibri" w:cs="Calibri"/>
                <w:sz w:val="20"/>
                <w:szCs w:val="20"/>
              </w:rPr>
              <w:t xml:space="preserve">. działki </w:t>
            </w:r>
          </w:p>
        </w:tc>
        <w:tc>
          <w:tcPr>
            <w:tcW w:w="1560" w:type="dxa"/>
            <w:vMerge w:val="restart"/>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 xml:space="preserve">Forma </w:t>
            </w:r>
          </w:p>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Przekazania</w:t>
            </w:r>
          </w:p>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działki</w:t>
            </w:r>
          </w:p>
        </w:tc>
        <w:tc>
          <w:tcPr>
            <w:tcW w:w="1559" w:type="dxa"/>
            <w:vMerge w:val="restart"/>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Cena</w:t>
            </w:r>
          </w:p>
        </w:tc>
      </w:tr>
      <w:tr w:rsidR="00623989" w:rsidRPr="00DC4B12" w:rsidTr="001F0C87">
        <w:trPr>
          <w:trHeight w:val="272"/>
        </w:trPr>
        <w:tc>
          <w:tcPr>
            <w:tcW w:w="566" w:type="dxa"/>
            <w:vMerge/>
          </w:tcPr>
          <w:p w:rsidR="00DC4B12" w:rsidRPr="00DC4B12" w:rsidRDefault="00DC4B12" w:rsidP="00DC4B12">
            <w:pPr>
              <w:spacing w:after="0" w:line="240" w:lineRule="auto"/>
              <w:rPr>
                <w:rFonts w:ascii="Calibri" w:eastAsia="Calibri" w:hAnsi="Calibri" w:cs="Calibri"/>
                <w:sz w:val="20"/>
                <w:szCs w:val="20"/>
              </w:rPr>
            </w:pPr>
          </w:p>
        </w:tc>
        <w:tc>
          <w:tcPr>
            <w:tcW w:w="4396" w:type="dxa"/>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Opis</w:t>
            </w:r>
          </w:p>
        </w:tc>
        <w:tc>
          <w:tcPr>
            <w:tcW w:w="1417" w:type="dxa"/>
          </w:tcPr>
          <w:p w:rsidR="00DC4B12" w:rsidRPr="00DC4B12" w:rsidRDefault="00DC4B12" w:rsidP="00DC4B12">
            <w:pPr>
              <w:spacing w:after="0" w:line="240" w:lineRule="auto"/>
              <w:rPr>
                <w:rFonts w:ascii="Calibri" w:eastAsia="Calibri" w:hAnsi="Calibri" w:cs="Calibri"/>
                <w:sz w:val="20"/>
                <w:szCs w:val="20"/>
              </w:rPr>
            </w:pPr>
          </w:p>
        </w:tc>
        <w:tc>
          <w:tcPr>
            <w:tcW w:w="5670" w:type="dxa"/>
            <w:vMerge/>
          </w:tcPr>
          <w:p w:rsidR="00DC4B12" w:rsidRPr="00DC4B12" w:rsidRDefault="00DC4B12" w:rsidP="00DC4B12">
            <w:pPr>
              <w:spacing w:after="0" w:line="240" w:lineRule="auto"/>
              <w:rPr>
                <w:rFonts w:ascii="Calibri" w:eastAsia="Calibri" w:hAnsi="Calibri" w:cs="Calibri"/>
                <w:sz w:val="20"/>
                <w:szCs w:val="20"/>
              </w:rPr>
            </w:pPr>
          </w:p>
        </w:tc>
        <w:tc>
          <w:tcPr>
            <w:tcW w:w="992" w:type="dxa"/>
            <w:vMerge/>
          </w:tcPr>
          <w:p w:rsidR="00DC4B12" w:rsidRPr="00DC4B12" w:rsidRDefault="00DC4B12" w:rsidP="00DC4B12">
            <w:pPr>
              <w:spacing w:after="0" w:line="240" w:lineRule="auto"/>
              <w:rPr>
                <w:rFonts w:ascii="Calibri" w:eastAsia="Calibri" w:hAnsi="Calibri" w:cs="Calibri"/>
                <w:sz w:val="20"/>
                <w:szCs w:val="20"/>
              </w:rPr>
            </w:pPr>
          </w:p>
        </w:tc>
        <w:tc>
          <w:tcPr>
            <w:tcW w:w="1560" w:type="dxa"/>
            <w:vMerge/>
          </w:tcPr>
          <w:p w:rsidR="00DC4B12" w:rsidRPr="00DC4B12" w:rsidRDefault="00DC4B12" w:rsidP="00DC4B12">
            <w:pPr>
              <w:spacing w:after="0" w:line="240" w:lineRule="auto"/>
              <w:rPr>
                <w:rFonts w:ascii="Calibri" w:eastAsia="Calibri" w:hAnsi="Calibri" w:cs="Calibri"/>
                <w:sz w:val="20"/>
                <w:szCs w:val="20"/>
              </w:rPr>
            </w:pPr>
          </w:p>
        </w:tc>
        <w:tc>
          <w:tcPr>
            <w:tcW w:w="1559" w:type="dxa"/>
            <w:vMerge/>
          </w:tcPr>
          <w:p w:rsidR="00DC4B12" w:rsidRPr="00DC4B12" w:rsidRDefault="00DC4B12" w:rsidP="00DC4B12">
            <w:pPr>
              <w:spacing w:after="0" w:line="240" w:lineRule="auto"/>
              <w:rPr>
                <w:rFonts w:ascii="Calibri" w:eastAsia="Calibri" w:hAnsi="Calibri" w:cs="Calibri"/>
                <w:sz w:val="20"/>
                <w:szCs w:val="20"/>
              </w:rPr>
            </w:pPr>
          </w:p>
        </w:tc>
      </w:tr>
      <w:tr w:rsidR="00623989" w:rsidRPr="00DC4B12" w:rsidTr="001F0C87">
        <w:trPr>
          <w:trHeight w:val="3002"/>
        </w:trPr>
        <w:tc>
          <w:tcPr>
            <w:tcW w:w="566" w:type="dxa"/>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1.</w:t>
            </w:r>
          </w:p>
        </w:tc>
        <w:tc>
          <w:tcPr>
            <w:tcW w:w="4396" w:type="dxa"/>
          </w:tcPr>
          <w:p w:rsidR="00DC4B12" w:rsidRPr="00DC4B12" w:rsidRDefault="00DC4B12" w:rsidP="00DC4B12">
            <w:pPr>
              <w:spacing w:after="0" w:line="240" w:lineRule="auto"/>
              <w:rPr>
                <w:rFonts w:ascii="Calibri" w:eastAsia="Calibri" w:hAnsi="Calibri" w:cs="Calibri"/>
                <w:b/>
                <w:sz w:val="20"/>
                <w:szCs w:val="20"/>
              </w:rPr>
            </w:pPr>
            <w:r w:rsidRPr="00DC4B12">
              <w:rPr>
                <w:rFonts w:ascii="Calibri" w:eastAsia="Calibri" w:hAnsi="Calibri" w:cs="Calibri"/>
                <w:b/>
                <w:sz w:val="20"/>
                <w:szCs w:val="20"/>
              </w:rPr>
              <w:t xml:space="preserve">Działka nr </w:t>
            </w:r>
            <w:r w:rsidR="00C741A2">
              <w:rPr>
                <w:rFonts w:ascii="Calibri" w:eastAsia="Calibri" w:hAnsi="Calibri" w:cs="Calibri"/>
                <w:b/>
                <w:sz w:val="20"/>
                <w:szCs w:val="20"/>
              </w:rPr>
              <w:t>180/1</w:t>
            </w:r>
          </w:p>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 xml:space="preserve">Obręb </w:t>
            </w:r>
            <w:r w:rsidR="00C741A2">
              <w:rPr>
                <w:rFonts w:ascii="Calibri" w:eastAsia="Calibri" w:hAnsi="Calibri" w:cs="Calibri"/>
                <w:sz w:val="20"/>
                <w:szCs w:val="20"/>
              </w:rPr>
              <w:t>Godziszewo</w:t>
            </w:r>
          </w:p>
          <w:p w:rsidR="00DC4B12" w:rsidRPr="00DC4B12" w:rsidRDefault="00C741A2" w:rsidP="00DC4B12">
            <w:pPr>
              <w:pBdr>
                <w:bottom w:val="single" w:sz="12" w:space="1" w:color="auto"/>
              </w:pBdr>
              <w:spacing w:after="0" w:line="240" w:lineRule="auto"/>
              <w:rPr>
                <w:rFonts w:ascii="Calibri" w:eastAsia="Calibri" w:hAnsi="Calibri" w:cs="Calibri"/>
                <w:sz w:val="20"/>
                <w:szCs w:val="20"/>
              </w:rPr>
            </w:pPr>
            <w:r>
              <w:rPr>
                <w:rFonts w:ascii="Calibri" w:eastAsia="Calibri" w:hAnsi="Calibri" w:cs="Calibri"/>
                <w:sz w:val="20"/>
                <w:szCs w:val="20"/>
              </w:rPr>
              <w:t>gm. Skarszewy</w:t>
            </w:r>
          </w:p>
          <w:p w:rsidR="00DC4B12" w:rsidRPr="00DC4B12" w:rsidRDefault="00DC4B12" w:rsidP="00DC4B12">
            <w:pPr>
              <w:pBdr>
                <w:bottom w:val="single" w:sz="12" w:space="1" w:color="auto"/>
              </w:pBdr>
              <w:spacing w:after="0" w:line="240" w:lineRule="auto"/>
              <w:rPr>
                <w:rFonts w:ascii="Calibri" w:eastAsia="Calibri" w:hAnsi="Calibri" w:cs="Calibri"/>
                <w:sz w:val="20"/>
                <w:szCs w:val="20"/>
              </w:rPr>
            </w:pPr>
            <w:r w:rsidRPr="00DC4B12">
              <w:rPr>
                <w:rFonts w:ascii="Calibri" w:eastAsia="Calibri" w:hAnsi="Calibri" w:cs="Calibri"/>
                <w:sz w:val="20"/>
                <w:szCs w:val="20"/>
              </w:rPr>
              <w:t xml:space="preserve">użytek gruntowy: </w:t>
            </w:r>
            <w:proofErr w:type="spellStart"/>
            <w:r w:rsidR="00C741A2">
              <w:rPr>
                <w:rFonts w:ascii="Calibri" w:eastAsia="Calibri" w:hAnsi="Calibri" w:cs="Calibri"/>
                <w:sz w:val="20"/>
                <w:szCs w:val="20"/>
              </w:rPr>
              <w:t>RIIIa</w:t>
            </w:r>
            <w:proofErr w:type="spellEnd"/>
            <w:r w:rsidR="00C741A2">
              <w:rPr>
                <w:rFonts w:ascii="Calibri" w:eastAsia="Calibri" w:hAnsi="Calibri" w:cs="Calibri"/>
                <w:sz w:val="20"/>
                <w:szCs w:val="20"/>
              </w:rPr>
              <w:t xml:space="preserve">, </w:t>
            </w:r>
            <w:proofErr w:type="spellStart"/>
            <w:r w:rsidR="00C741A2">
              <w:rPr>
                <w:rFonts w:ascii="Calibri" w:eastAsia="Calibri" w:hAnsi="Calibri" w:cs="Calibri"/>
                <w:sz w:val="20"/>
                <w:szCs w:val="20"/>
              </w:rPr>
              <w:t>RIIIb</w:t>
            </w:r>
            <w:proofErr w:type="spellEnd"/>
            <w:r w:rsidR="00C741A2">
              <w:rPr>
                <w:rFonts w:ascii="Calibri" w:eastAsia="Calibri" w:hAnsi="Calibri" w:cs="Calibri"/>
                <w:sz w:val="20"/>
                <w:szCs w:val="20"/>
              </w:rPr>
              <w:t xml:space="preserve">, </w:t>
            </w:r>
            <w:proofErr w:type="spellStart"/>
            <w:r w:rsidR="00C741A2">
              <w:rPr>
                <w:rFonts w:ascii="Calibri" w:eastAsia="Calibri" w:hAnsi="Calibri" w:cs="Calibri"/>
                <w:sz w:val="20"/>
                <w:szCs w:val="20"/>
              </w:rPr>
              <w:t>RIVa</w:t>
            </w:r>
            <w:proofErr w:type="spellEnd"/>
            <w:r w:rsidR="00C741A2">
              <w:rPr>
                <w:rFonts w:ascii="Calibri" w:eastAsia="Calibri" w:hAnsi="Calibri" w:cs="Calibri"/>
                <w:sz w:val="20"/>
                <w:szCs w:val="20"/>
              </w:rPr>
              <w:t xml:space="preserve">, </w:t>
            </w:r>
            <w:proofErr w:type="spellStart"/>
            <w:r w:rsidR="00C741A2">
              <w:rPr>
                <w:rFonts w:ascii="Calibri" w:eastAsia="Calibri" w:hAnsi="Calibri" w:cs="Calibri"/>
                <w:sz w:val="20"/>
                <w:szCs w:val="20"/>
              </w:rPr>
              <w:t>PsIV</w:t>
            </w:r>
            <w:proofErr w:type="spellEnd"/>
            <w:r w:rsidR="00C741A2">
              <w:rPr>
                <w:rFonts w:ascii="Calibri" w:eastAsia="Calibri" w:hAnsi="Calibri" w:cs="Calibri"/>
                <w:sz w:val="20"/>
                <w:szCs w:val="20"/>
              </w:rPr>
              <w:t>, W-</w:t>
            </w:r>
            <w:proofErr w:type="spellStart"/>
            <w:r w:rsidR="00C741A2">
              <w:rPr>
                <w:rFonts w:ascii="Calibri" w:eastAsia="Calibri" w:hAnsi="Calibri" w:cs="Calibri"/>
                <w:sz w:val="20"/>
                <w:szCs w:val="20"/>
              </w:rPr>
              <w:t>PsIV</w:t>
            </w:r>
            <w:proofErr w:type="spellEnd"/>
          </w:p>
          <w:p w:rsidR="00DC4B12" w:rsidRPr="00DC4B12" w:rsidRDefault="00DC4B12" w:rsidP="00DC4B12">
            <w:pPr>
              <w:pBdr>
                <w:bottom w:val="single" w:sz="12" w:space="1" w:color="auto"/>
              </w:pBdr>
              <w:spacing w:after="0" w:line="240" w:lineRule="auto"/>
              <w:rPr>
                <w:rFonts w:ascii="Calibri" w:eastAsia="Calibri" w:hAnsi="Calibri" w:cs="Calibri"/>
                <w:sz w:val="20"/>
                <w:szCs w:val="20"/>
              </w:rPr>
            </w:pPr>
            <w:r w:rsidRPr="00DC4B12">
              <w:rPr>
                <w:rFonts w:ascii="Calibri" w:eastAsia="Calibri" w:hAnsi="Calibri" w:cs="Calibri"/>
                <w:sz w:val="20"/>
                <w:szCs w:val="20"/>
              </w:rPr>
              <w:t>GD1A/</w:t>
            </w:r>
            <w:r w:rsidR="00C741A2">
              <w:rPr>
                <w:rFonts w:ascii="Calibri" w:eastAsia="Calibri" w:hAnsi="Calibri" w:cs="Calibri"/>
                <w:sz w:val="20"/>
                <w:szCs w:val="20"/>
              </w:rPr>
              <w:t>00044614/4</w:t>
            </w:r>
          </w:p>
          <w:p w:rsidR="00DC4B12" w:rsidRPr="00DC4B12" w:rsidRDefault="00C741A2" w:rsidP="004A1529">
            <w:pPr>
              <w:spacing w:after="0" w:line="240" w:lineRule="auto"/>
              <w:rPr>
                <w:rFonts w:ascii="Calibri" w:eastAsia="Calibri" w:hAnsi="Calibri" w:cs="Calibri"/>
                <w:sz w:val="20"/>
                <w:szCs w:val="20"/>
              </w:rPr>
            </w:pPr>
            <w:r>
              <w:rPr>
                <w:rFonts w:ascii="Calibri" w:eastAsia="Calibri" w:hAnsi="Calibri" w:cs="Calibri"/>
                <w:sz w:val="20"/>
                <w:szCs w:val="20"/>
              </w:rPr>
              <w:t>Nieruchomość niezabudowana, nieogrodzona, wykorzystywana rolniczo. Działka o nieregularnym kształcie, korzystnym (płaskim) ukształtowaniu terenu za spadkiem przy linii brzegowej.  Wzdłuż drogi dojazdowej przebiega przez działkę sieć elektroenergetyczna oraz sieć telekomunikacyjna. W bezpośrednim sąsiedztwie znajdują się grunty pod zabudowę wraz z nowopowstającą zabudową mieszkaniową, od południa Jezioro Godziszewskie, w dalszym sąsiedztwie żwirownia.</w:t>
            </w:r>
          </w:p>
        </w:tc>
        <w:tc>
          <w:tcPr>
            <w:tcW w:w="1417" w:type="dxa"/>
          </w:tcPr>
          <w:p w:rsidR="00DC4B12" w:rsidRPr="00C741A2" w:rsidRDefault="00C741A2" w:rsidP="00DC4B12">
            <w:pPr>
              <w:spacing w:after="0" w:line="240" w:lineRule="auto"/>
              <w:rPr>
                <w:rFonts w:ascii="Calibri" w:eastAsia="Calibri" w:hAnsi="Calibri" w:cs="Calibri"/>
                <w:b/>
                <w:sz w:val="20"/>
                <w:szCs w:val="20"/>
              </w:rPr>
            </w:pPr>
            <w:r w:rsidRPr="00C741A2">
              <w:rPr>
                <w:rFonts w:ascii="Calibri" w:eastAsia="Calibri" w:hAnsi="Calibri" w:cs="Calibri"/>
                <w:b/>
                <w:sz w:val="20"/>
                <w:szCs w:val="20"/>
              </w:rPr>
              <w:t>5,4020</w:t>
            </w:r>
            <w:r w:rsidR="00DC4B12" w:rsidRPr="00C741A2">
              <w:rPr>
                <w:rFonts w:ascii="Calibri" w:eastAsia="Calibri" w:hAnsi="Calibri" w:cs="Calibri"/>
                <w:b/>
                <w:sz w:val="20"/>
                <w:szCs w:val="20"/>
              </w:rPr>
              <w:t xml:space="preserve"> ha</w:t>
            </w:r>
          </w:p>
          <w:p w:rsidR="00DC4B12" w:rsidRPr="00DC4B12" w:rsidRDefault="00DC4B12" w:rsidP="00DC4B12">
            <w:pPr>
              <w:spacing w:after="0" w:line="240" w:lineRule="auto"/>
              <w:rPr>
                <w:rFonts w:ascii="Calibri" w:eastAsia="Calibri" w:hAnsi="Calibri" w:cs="Calibri"/>
                <w:sz w:val="20"/>
                <w:szCs w:val="20"/>
              </w:rPr>
            </w:pPr>
          </w:p>
          <w:p w:rsidR="00DC4B12" w:rsidRPr="00DC4B12" w:rsidRDefault="00DC4B12" w:rsidP="00DC4B12">
            <w:pPr>
              <w:spacing w:after="0" w:line="240" w:lineRule="auto"/>
              <w:rPr>
                <w:rFonts w:ascii="Calibri" w:eastAsia="Calibri" w:hAnsi="Calibri" w:cs="Calibri"/>
                <w:sz w:val="20"/>
                <w:szCs w:val="20"/>
              </w:rPr>
            </w:pPr>
          </w:p>
          <w:p w:rsidR="00DC4B12" w:rsidRPr="00DC4B12" w:rsidRDefault="00DC4B12" w:rsidP="00DC4B12">
            <w:pPr>
              <w:spacing w:after="0" w:line="240" w:lineRule="auto"/>
              <w:rPr>
                <w:rFonts w:ascii="Calibri" w:eastAsia="Calibri" w:hAnsi="Calibri" w:cs="Calibri"/>
                <w:sz w:val="20"/>
                <w:szCs w:val="20"/>
              </w:rPr>
            </w:pPr>
          </w:p>
          <w:p w:rsidR="00DC4B12" w:rsidRPr="00DC4B12" w:rsidRDefault="00DC4B12" w:rsidP="00C741A2">
            <w:pPr>
              <w:spacing w:after="0" w:line="240" w:lineRule="auto"/>
              <w:rPr>
                <w:rFonts w:ascii="Calibri" w:eastAsia="Calibri" w:hAnsi="Calibri" w:cs="Calibri"/>
                <w:sz w:val="20"/>
                <w:szCs w:val="20"/>
              </w:rPr>
            </w:pPr>
          </w:p>
        </w:tc>
        <w:tc>
          <w:tcPr>
            <w:tcW w:w="5670" w:type="dxa"/>
          </w:tcPr>
          <w:p w:rsidR="00DC4B12" w:rsidRPr="00DC4B12" w:rsidRDefault="001F0C87" w:rsidP="001F0C87">
            <w:pPr>
              <w:spacing w:after="0" w:line="240" w:lineRule="auto"/>
              <w:rPr>
                <w:rFonts w:ascii="Calibri" w:eastAsia="Calibri" w:hAnsi="Calibri" w:cs="Calibri"/>
                <w:sz w:val="20"/>
                <w:szCs w:val="20"/>
              </w:rPr>
            </w:pPr>
            <w:r>
              <w:rPr>
                <w:rFonts w:ascii="Calibri" w:eastAsia="Calibri" w:hAnsi="Calibri" w:cs="Calibri"/>
                <w:sz w:val="20"/>
                <w:szCs w:val="20"/>
              </w:rPr>
              <w:t>Działka</w:t>
            </w:r>
            <w:r w:rsidR="00DC4B12" w:rsidRPr="00DC4B12">
              <w:rPr>
                <w:rFonts w:ascii="Calibri" w:eastAsia="Calibri" w:hAnsi="Calibri" w:cs="Calibri"/>
                <w:sz w:val="20"/>
                <w:szCs w:val="20"/>
              </w:rPr>
              <w:t xml:space="preserve"> nie </w:t>
            </w:r>
            <w:r>
              <w:rPr>
                <w:rFonts w:ascii="Calibri" w:eastAsia="Calibri" w:hAnsi="Calibri" w:cs="Calibri"/>
                <w:sz w:val="20"/>
                <w:szCs w:val="20"/>
              </w:rPr>
              <w:t xml:space="preserve">jest objęta miejscowym planem zagospodarowania przestrzennego. </w:t>
            </w:r>
            <w:r w:rsidR="00DC4B12" w:rsidRPr="00DC4B12">
              <w:rPr>
                <w:rFonts w:ascii="Calibri" w:eastAsia="Calibri" w:hAnsi="Calibri" w:cs="Calibri"/>
                <w:sz w:val="20"/>
                <w:szCs w:val="20"/>
              </w:rPr>
              <w:t>Zgodnie ze studium uwarunkowań i kierunków zagospodarowania przestrz</w:t>
            </w:r>
            <w:r>
              <w:rPr>
                <w:rFonts w:ascii="Calibri" w:eastAsia="Calibri" w:hAnsi="Calibri" w:cs="Calibri"/>
                <w:sz w:val="20"/>
                <w:szCs w:val="20"/>
              </w:rPr>
              <w:t>ennego</w:t>
            </w:r>
            <w:r w:rsidR="00DC4B12" w:rsidRPr="00DC4B12">
              <w:rPr>
                <w:rFonts w:ascii="Calibri" w:eastAsia="Calibri" w:hAnsi="Calibri" w:cs="Calibri"/>
                <w:sz w:val="20"/>
                <w:szCs w:val="20"/>
              </w:rPr>
              <w:t xml:space="preserve"> miasta i gminy Ska</w:t>
            </w:r>
            <w:r>
              <w:rPr>
                <w:rFonts w:ascii="Calibri" w:eastAsia="Calibri" w:hAnsi="Calibri" w:cs="Calibri"/>
                <w:sz w:val="20"/>
                <w:szCs w:val="20"/>
              </w:rPr>
              <w:t xml:space="preserve">rszewy, zatwierdzonym  Uchwałą </w:t>
            </w:r>
            <w:r w:rsidR="00DC4B12" w:rsidRPr="00DC4B12">
              <w:rPr>
                <w:rFonts w:ascii="Calibri" w:eastAsia="Calibri" w:hAnsi="Calibri" w:cs="Calibri"/>
                <w:sz w:val="20"/>
                <w:szCs w:val="20"/>
              </w:rPr>
              <w:t xml:space="preserve">nr XLII/326/09 Rady Miejskiej  w Skarszewach z dnia 18 grudnia 2009 r., zmienionym Uchwałą nr XLI/328/2014 Rady Miejskiej w Skarszewach z dnia 27 lutego 2014 r., zmienionym Uchwałą Nr VI/69/15 Rady Miejskiej w Skarszewach z dnia 29 czerwca 2015 r., zmienionym Uchwałą Nr VII/73/15 Rady Miejskiej w Skarszewach z dnia 30 lipca 2015r., zmienionym </w:t>
            </w:r>
            <w:r w:rsidR="00DC4B12" w:rsidRPr="00DC4B12">
              <w:rPr>
                <w:rFonts w:ascii="Calibri" w:eastAsia="Calibri" w:hAnsi="Calibri" w:cs="Calibri"/>
                <w:bCs/>
                <w:sz w:val="20"/>
                <w:szCs w:val="20"/>
              </w:rPr>
              <w:t>zarządzeniem zastępczym Wojewody Pomorskiego z dnia 30 października 2019 r. oraz zmienionym uchwałą Nr XVI/139/19 Rady Miejskiej w Skarsz</w:t>
            </w:r>
            <w:r>
              <w:rPr>
                <w:rFonts w:ascii="Calibri" w:eastAsia="Calibri" w:hAnsi="Calibri" w:cs="Calibri"/>
                <w:bCs/>
                <w:sz w:val="20"/>
                <w:szCs w:val="20"/>
              </w:rPr>
              <w:t>ewach z dnia 19 grudnia 2019 r.</w:t>
            </w:r>
            <w:r>
              <w:rPr>
                <w:rFonts w:ascii="Calibri" w:eastAsia="Calibri" w:hAnsi="Calibri" w:cs="Calibri"/>
                <w:sz w:val="20"/>
                <w:szCs w:val="20"/>
              </w:rPr>
              <w:t xml:space="preserve"> działka ewidencyjna</w:t>
            </w:r>
            <w:r w:rsidR="00DC4B12" w:rsidRPr="00DC4B12">
              <w:rPr>
                <w:rFonts w:ascii="Calibri" w:eastAsia="Calibri" w:hAnsi="Calibri" w:cs="Calibri"/>
                <w:sz w:val="20"/>
                <w:szCs w:val="20"/>
              </w:rPr>
              <w:t xml:space="preserve"> znajduj</w:t>
            </w:r>
            <w:r>
              <w:rPr>
                <w:rFonts w:ascii="Calibri" w:eastAsia="Calibri" w:hAnsi="Calibri" w:cs="Calibri"/>
                <w:sz w:val="20"/>
                <w:szCs w:val="20"/>
              </w:rPr>
              <w:t>e</w:t>
            </w:r>
            <w:r w:rsidR="00DC4B12" w:rsidRPr="00DC4B12">
              <w:rPr>
                <w:rFonts w:ascii="Calibri" w:eastAsia="Calibri" w:hAnsi="Calibri" w:cs="Calibri"/>
                <w:sz w:val="20"/>
                <w:szCs w:val="20"/>
              </w:rPr>
              <w:t xml:space="preserve"> się na obszarze oznaczonym </w:t>
            </w:r>
            <w:r>
              <w:rPr>
                <w:rFonts w:ascii="Calibri" w:eastAsia="Calibri" w:hAnsi="Calibri" w:cs="Calibri"/>
                <w:sz w:val="20"/>
                <w:szCs w:val="20"/>
              </w:rPr>
              <w:t xml:space="preserve">jako teren zabudowy mieszkaniowej jednorodzinnej (funkcja towarzysząca lub uzupełniająca: teren zabudowy usługowej, teren zabudowy zagrodowej). Część działki położona jest w strefie ochronnej w pasie o szerokości 100 m od linii brzegowej jeziora. Dodatkowo nieruchomość położona jest w granicach strefy „OW” obserwacji i ochrony archeologicznej oraz w Obszarze Chronionego Krajobrazu „Dolina Wierzycy”. Ponadto na części działki znajduje się stanowisko archeologiczne. </w:t>
            </w:r>
          </w:p>
        </w:tc>
        <w:tc>
          <w:tcPr>
            <w:tcW w:w="992" w:type="dxa"/>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Nie określa się.</w:t>
            </w:r>
          </w:p>
        </w:tc>
        <w:tc>
          <w:tcPr>
            <w:tcW w:w="1560" w:type="dxa"/>
          </w:tcPr>
          <w:p w:rsidR="00DC4B12" w:rsidRPr="00DC4B12" w:rsidRDefault="00DC4B12" w:rsidP="00DC4B12">
            <w:pPr>
              <w:spacing w:after="0" w:line="240" w:lineRule="auto"/>
              <w:rPr>
                <w:rFonts w:ascii="Calibri" w:eastAsia="Calibri" w:hAnsi="Calibri" w:cs="Calibri"/>
                <w:sz w:val="20"/>
                <w:szCs w:val="20"/>
              </w:rPr>
            </w:pPr>
            <w:r w:rsidRPr="00DC4B12">
              <w:rPr>
                <w:rFonts w:ascii="Calibri" w:eastAsia="Calibri" w:hAnsi="Calibri" w:cs="Calibri"/>
                <w:sz w:val="20"/>
                <w:szCs w:val="20"/>
              </w:rPr>
              <w:t>Sprzedaż w drodze ustn</w:t>
            </w:r>
            <w:r w:rsidR="00D52FBF">
              <w:rPr>
                <w:rFonts w:ascii="Calibri" w:eastAsia="Calibri" w:hAnsi="Calibri" w:cs="Calibri"/>
                <w:sz w:val="20"/>
                <w:szCs w:val="20"/>
              </w:rPr>
              <w:t xml:space="preserve">ego przetargu  </w:t>
            </w:r>
            <w:r w:rsidRPr="00DC4B12">
              <w:rPr>
                <w:rFonts w:ascii="Calibri" w:eastAsia="Calibri" w:hAnsi="Calibri" w:cs="Calibri"/>
                <w:sz w:val="20"/>
                <w:szCs w:val="20"/>
              </w:rPr>
              <w:t>ograniczonego</w:t>
            </w:r>
            <w:r w:rsidRPr="00DC4B12">
              <w:rPr>
                <w:rFonts w:ascii="Calibri" w:eastAsia="Calibri" w:hAnsi="Calibri" w:cs="Calibri"/>
                <w:sz w:val="16"/>
                <w:szCs w:val="20"/>
              </w:rPr>
              <w:t>.</w:t>
            </w:r>
          </w:p>
        </w:tc>
        <w:tc>
          <w:tcPr>
            <w:tcW w:w="1559" w:type="dxa"/>
          </w:tcPr>
          <w:p w:rsidR="00DC4B12" w:rsidRPr="00DC4B12" w:rsidRDefault="001F0C87" w:rsidP="00DC4B12">
            <w:pPr>
              <w:spacing w:after="0" w:line="240" w:lineRule="auto"/>
              <w:rPr>
                <w:rFonts w:ascii="Calibri" w:eastAsia="Calibri" w:hAnsi="Calibri" w:cs="Calibri"/>
                <w:b/>
                <w:sz w:val="20"/>
                <w:szCs w:val="20"/>
              </w:rPr>
            </w:pPr>
            <w:r>
              <w:rPr>
                <w:rFonts w:ascii="Calibri" w:eastAsia="Calibri" w:hAnsi="Calibri" w:cs="Calibri"/>
                <w:b/>
                <w:sz w:val="20"/>
                <w:szCs w:val="20"/>
              </w:rPr>
              <w:t>1 600</w:t>
            </w:r>
            <w:r w:rsidR="00DC4B12" w:rsidRPr="00DC4B12">
              <w:rPr>
                <w:rFonts w:ascii="Calibri" w:eastAsia="Calibri" w:hAnsi="Calibri" w:cs="Calibri"/>
                <w:b/>
                <w:sz w:val="20"/>
                <w:szCs w:val="20"/>
              </w:rPr>
              <w:t xml:space="preserve"> 000,00 zł</w:t>
            </w:r>
          </w:p>
          <w:p w:rsidR="00DC4B12" w:rsidRPr="00A7397C" w:rsidRDefault="00A7397C" w:rsidP="00DC4B12">
            <w:pPr>
              <w:spacing w:after="0" w:line="240" w:lineRule="auto"/>
              <w:rPr>
                <w:rFonts w:ascii="Calibri" w:eastAsia="Calibri" w:hAnsi="Calibri" w:cs="Calibri"/>
                <w:sz w:val="20"/>
                <w:szCs w:val="20"/>
              </w:rPr>
            </w:pPr>
            <w:r w:rsidRPr="00A7397C">
              <w:rPr>
                <w:rFonts w:ascii="Calibri" w:eastAsia="Calibri" w:hAnsi="Calibri" w:cs="Calibri"/>
                <w:sz w:val="20"/>
                <w:szCs w:val="20"/>
              </w:rPr>
              <w:t>(zwolnione z podatku VAT)</w:t>
            </w:r>
          </w:p>
        </w:tc>
      </w:tr>
    </w:tbl>
    <w:p w:rsidR="00A7397C" w:rsidRDefault="00DC4B12" w:rsidP="00D52FBF">
      <w:pPr>
        <w:spacing w:line="240" w:lineRule="auto"/>
        <w:jc w:val="both"/>
        <w:rPr>
          <w:rFonts w:ascii="Times New Roman" w:hAnsi="Times New Roman" w:cs="Times New Roman"/>
          <w:b/>
          <w:sz w:val="24"/>
          <w:szCs w:val="24"/>
        </w:rPr>
      </w:pPr>
      <w:r w:rsidRPr="00DC4B12">
        <w:rPr>
          <w:rFonts w:ascii="Times New Roman" w:eastAsia="Calibri" w:hAnsi="Times New Roman" w:cs="Times New Roman"/>
          <w:b/>
        </w:rPr>
        <w:br/>
      </w:r>
    </w:p>
    <w:p w:rsidR="00A7397C" w:rsidRDefault="00A7397C" w:rsidP="00D52FBF">
      <w:pPr>
        <w:spacing w:line="240" w:lineRule="auto"/>
        <w:jc w:val="both"/>
        <w:rPr>
          <w:rFonts w:ascii="Times New Roman" w:hAnsi="Times New Roman" w:cs="Times New Roman"/>
          <w:b/>
          <w:sz w:val="24"/>
          <w:szCs w:val="24"/>
        </w:rPr>
      </w:pPr>
    </w:p>
    <w:p w:rsidR="00351D70" w:rsidRPr="00D27224" w:rsidRDefault="00351D70" w:rsidP="0087391A">
      <w:pPr>
        <w:spacing w:line="240" w:lineRule="auto"/>
        <w:jc w:val="both"/>
        <w:rPr>
          <w:rFonts w:ascii="Times New Roman" w:hAnsi="Times New Roman" w:cs="Times New Roman"/>
          <w:b/>
          <w:sz w:val="24"/>
          <w:szCs w:val="24"/>
        </w:rPr>
      </w:pPr>
      <w:r w:rsidRPr="00D27224">
        <w:rPr>
          <w:rFonts w:ascii="Times New Roman" w:hAnsi="Times New Roman" w:cs="Times New Roman"/>
          <w:b/>
          <w:sz w:val="24"/>
          <w:szCs w:val="24"/>
        </w:rPr>
        <w:lastRenderedPageBreak/>
        <w:t xml:space="preserve">Obciążenia </w:t>
      </w:r>
    </w:p>
    <w:p w:rsidR="00A7397C" w:rsidRDefault="00351D70" w:rsidP="0087391A">
      <w:pPr>
        <w:jc w:val="both"/>
        <w:rPr>
          <w:rFonts w:ascii="Times New Roman" w:hAnsi="Times New Roman" w:cs="Times New Roman"/>
          <w:sz w:val="24"/>
          <w:szCs w:val="24"/>
        </w:rPr>
      </w:pPr>
      <w:r w:rsidRPr="00D27224">
        <w:rPr>
          <w:rFonts w:ascii="Times New Roman" w:hAnsi="Times New Roman" w:cs="Times New Roman"/>
          <w:sz w:val="24"/>
          <w:szCs w:val="24"/>
        </w:rPr>
        <w:t>Nieruchomość jest wolna od wszelkich obciążeń i zadłużeń.</w:t>
      </w:r>
      <w:r w:rsidR="00D52FBF">
        <w:rPr>
          <w:rFonts w:ascii="Times New Roman" w:hAnsi="Times New Roman" w:cs="Times New Roman"/>
          <w:sz w:val="24"/>
          <w:szCs w:val="24"/>
        </w:rPr>
        <w:t xml:space="preserve"> </w:t>
      </w:r>
      <w:r w:rsidR="00A7397C">
        <w:rPr>
          <w:rFonts w:ascii="Times New Roman" w:hAnsi="Times New Roman" w:cs="Times New Roman"/>
          <w:sz w:val="24"/>
          <w:szCs w:val="24"/>
        </w:rPr>
        <w:t>Działka</w:t>
      </w:r>
      <w:r w:rsidR="00D52FBF">
        <w:rPr>
          <w:rFonts w:ascii="Times New Roman" w:hAnsi="Times New Roman" w:cs="Times New Roman"/>
          <w:sz w:val="24"/>
          <w:szCs w:val="24"/>
        </w:rPr>
        <w:t xml:space="preserve"> objęta jest </w:t>
      </w:r>
      <w:r w:rsidR="00A7397C">
        <w:rPr>
          <w:rFonts w:ascii="Times New Roman" w:hAnsi="Times New Roman" w:cs="Times New Roman"/>
          <w:sz w:val="24"/>
          <w:szCs w:val="24"/>
        </w:rPr>
        <w:t xml:space="preserve">umową dzierżawy obowiązującą do </w:t>
      </w:r>
      <w:r w:rsidR="00A7397C" w:rsidRPr="00A7397C">
        <w:rPr>
          <w:rFonts w:ascii="Times New Roman" w:hAnsi="Times New Roman" w:cs="Times New Roman"/>
          <w:b/>
          <w:bCs/>
          <w:sz w:val="24"/>
          <w:szCs w:val="24"/>
        </w:rPr>
        <w:t>31 sierpnia 2022 r</w:t>
      </w:r>
      <w:r w:rsidR="00A7397C" w:rsidRPr="00A7397C">
        <w:rPr>
          <w:rFonts w:ascii="Times New Roman" w:hAnsi="Times New Roman" w:cs="Times New Roman"/>
          <w:sz w:val="24"/>
          <w:szCs w:val="24"/>
        </w:rPr>
        <w:t>.</w:t>
      </w:r>
    </w:p>
    <w:p w:rsidR="00351D70" w:rsidRPr="00D27224" w:rsidRDefault="00C1083F">
      <w:pPr>
        <w:rPr>
          <w:rFonts w:ascii="Times New Roman" w:hAnsi="Times New Roman" w:cs="Times New Roman"/>
          <w:b/>
          <w:sz w:val="24"/>
          <w:szCs w:val="24"/>
        </w:rPr>
      </w:pPr>
      <w:r w:rsidRPr="00D27224">
        <w:rPr>
          <w:rFonts w:ascii="Times New Roman" w:hAnsi="Times New Roman" w:cs="Times New Roman"/>
          <w:b/>
          <w:sz w:val="24"/>
          <w:szCs w:val="24"/>
        </w:rPr>
        <w:t>Procedura sprzedaży</w:t>
      </w:r>
      <w:r w:rsidR="00351D70" w:rsidRPr="00D27224">
        <w:rPr>
          <w:rFonts w:ascii="Times New Roman" w:hAnsi="Times New Roman" w:cs="Times New Roman"/>
          <w:b/>
          <w:sz w:val="24"/>
          <w:szCs w:val="24"/>
        </w:rPr>
        <w:t>:</w:t>
      </w:r>
    </w:p>
    <w:p w:rsidR="00597D22" w:rsidRPr="00D27224" w:rsidRDefault="00BE0243" w:rsidP="00597D22">
      <w:pPr>
        <w:spacing w:after="0"/>
        <w:jc w:val="both"/>
        <w:rPr>
          <w:rFonts w:ascii="Times New Roman" w:hAnsi="Times New Roman" w:cs="Times New Roman"/>
          <w:b/>
          <w:sz w:val="24"/>
          <w:szCs w:val="24"/>
        </w:rPr>
      </w:pPr>
      <w:r w:rsidRPr="00D27224">
        <w:rPr>
          <w:rFonts w:ascii="Times New Roman" w:hAnsi="Times New Roman" w:cs="Times New Roman"/>
          <w:sz w:val="24"/>
          <w:szCs w:val="24"/>
        </w:rPr>
        <w:t xml:space="preserve">Zgodnie z </w:t>
      </w:r>
      <w:r w:rsidR="00041F41" w:rsidRPr="00D27224">
        <w:rPr>
          <w:rFonts w:ascii="Times New Roman" w:hAnsi="Times New Roman" w:cs="Times New Roman"/>
          <w:sz w:val="24"/>
          <w:szCs w:val="24"/>
        </w:rPr>
        <w:t xml:space="preserve">art. 2a ust. 1 </w:t>
      </w:r>
      <w:r w:rsidRPr="00D27224">
        <w:rPr>
          <w:rFonts w:ascii="Times New Roman" w:hAnsi="Times New Roman" w:cs="Times New Roman"/>
          <w:sz w:val="24"/>
          <w:szCs w:val="24"/>
        </w:rPr>
        <w:t>ustaw</w:t>
      </w:r>
      <w:r w:rsidR="00041F41" w:rsidRPr="00D27224">
        <w:rPr>
          <w:rFonts w:ascii="Times New Roman" w:hAnsi="Times New Roman" w:cs="Times New Roman"/>
          <w:sz w:val="24"/>
          <w:szCs w:val="24"/>
        </w:rPr>
        <w:t>y</w:t>
      </w:r>
      <w:r w:rsidRPr="00D27224">
        <w:rPr>
          <w:rFonts w:ascii="Times New Roman" w:hAnsi="Times New Roman" w:cs="Times New Roman"/>
          <w:sz w:val="24"/>
          <w:szCs w:val="24"/>
        </w:rPr>
        <w:t xml:space="preserve"> z dnia 11 kwietnia 2003 r. o kształtowaniu ustroju rolnego nieruchomość rolną może nabyć wyłącznie </w:t>
      </w:r>
      <w:r w:rsidRPr="00D27224">
        <w:rPr>
          <w:rFonts w:ascii="Times New Roman" w:hAnsi="Times New Roman" w:cs="Times New Roman"/>
          <w:b/>
          <w:sz w:val="24"/>
          <w:szCs w:val="24"/>
        </w:rPr>
        <w:t>rolnik indywidualny</w:t>
      </w:r>
      <w:r w:rsidR="00041F41" w:rsidRPr="00D27224">
        <w:rPr>
          <w:rFonts w:ascii="Times New Roman" w:hAnsi="Times New Roman" w:cs="Times New Roman"/>
          <w:b/>
          <w:sz w:val="24"/>
          <w:szCs w:val="24"/>
        </w:rPr>
        <w:t xml:space="preserve">, </w:t>
      </w:r>
      <w:r w:rsidR="00041F41" w:rsidRPr="00D27224">
        <w:rPr>
          <w:rFonts w:ascii="Times New Roman" w:hAnsi="Times New Roman" w:cs="Times New Roman"/>
          <w:sz w:val="24"/>
          <w:szCs w:val="24"/>
        </w:rPr>
        <w:t xml:space="preserve">chyba że ustawa stanowi inaczej. Jeżeli nabywana nieruchomość rolna albo jej część ma wejść w skład wspólności majątkowej małżeńskiej wystarczające jest, gdy rolnikiem indywidualnym jest jeden z małżonków. Zgodnie </w:t>
      </w:r>
      <w:r w:rsidR="00EC5CBA" w:rsidRPr="00D27224">
        <w:rPr>
          <w:rFonts w:ascii="Times New Roman" w:hAnsi="Times New Roman" w:cs="Times New Roman"/>
          <w:sz w:val="24"/>
          <w:szCs w:val="24"/>
        </w:rPr>
        <w:t xml:space="preserve">z treścią art. 6 ww. ustawy 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w:t>
      </w:r>
      <w:r w:rsidR="006348EF" w:rsidRPr="00D27224">
        <w:rPr>
          <w:rFonts w:ascii="Times New Roman" w:hAnsi="Times New Roman" w:cs="Times New Roman"/>
          <w:sz w:val="24"/>
          <w:szCs w:val="24"/>
        </w:rPr>
        <w:br/>
      </w:r>
      <w:r w:rsidR="00EC5CBA" w:rsidRPr="00D27224">
        <w:rPr>
          <w:rFonts w:ascii="Times New Roman" w:hAnsi="Times New Roman" w:cs="Times New Roman"/>
          <w:sz w:val="24"/>
          <w:szCs w:val="24"/>
        </w:rPr>
        <w:t>i prowadzącą przez ten okres osobiście to gospodarstwo.</w:t>
      </w:r>
    </w:p>
    <w:p w:rsidR="001263E2" w:rsidRDefault="00157E9C" w:rsidP="00390282">
      <w:pPr>
        <w:jc w:val="both"/>
        <w:rPr>
          <w:rFonts w:ascii="Times New Roman" w:hAnsi="Times New Roman" w:cs="Times New Roman"/>
          <w:sz w:val="24"/>
          <w:szCs w:val="24"/>
        </w:rPr>
      </w:pPr>
      <w:r w:rsidRPr="00D27224">
        <w:rPr>
          <w:rFonts w:ascii="Times New Roman" w:hAnsi="Times New Roman" w:cs="Times New Roman"/>
          <w:sz w:val="24"/>
          <w:szCs w:val="24"/>
        </w:rPr>
        <w:t xml:space="preserve">Nabycie nieruchomości rolnej przez inne podmioty niż wymienione w art. 2a ust. 1 i ust. 3 pkt 1 oraz w innych przypadkach niż wymienione </w:t>
      </w:r>
      <w:r w:rsidRPr="00D27224">
        <w:rPr>
          <w:rFonts w:ascii="Times New Roman" w:hAnsi="Times New Roman" w:cs="Times New Roman"/>
          <w:sz w:val="24"/>
          <w:szCs w:val="24"/>
        </w:rPr>
        <w:br/>
        <w:t>w art. 2a ust. 3 pkt 2-4, może nastąpić za zgodą Dyrektora Generalnego Krajowego Ośrodka</w:t>
      </w:r>
      <w:r w:rsidR="00DC445A" w:rsidRPr="00D27224">
        <w:rPr>
          <w:rFonts w:ascii="Times New Roman" w:hAnsi="Times New Roman" w:cs="Times New Roman"/>
          <w:sz w:val="24"/>
          <w:szCs w:val="24"/>
        </w:rPr>
        <w:t xml:space="preserve"> Wsparcia Rolnictwa</w:t>
      </w:r>
      <w:r w:rsidRPr="00D27224">
        <w:rPr>
          <w:rFonts w:ascii="Times New Roman" w:hAnsi="Times New Roman" w:cs="Times New Roman"/>
          <w:sz w:val="24"/>
          <w:szCs w:val="24"/>
        </w:rPr>
        <w:t>, wyrażoną w drodze decyzji administracyjnej</w:t>
      </w:r>
      <w:r w:rsidR="001263E2" w:rsidRPr="00D27224">
        <w:rPr>
          <w:rFonts w:ascii="Times New Roman" w:hAnsi="Times New Roman" w:cs="Times New Roman"/>
          <w:sz w:val="24"/>
          <w:szCs w:val="24"/>
        </w:rPr>
        <w:t>.</w:t>
      </w:r>
    </w:p>
    <w:p w:rsidR="00A7397C" w:rsidRPr="00D27224" w:rsidRDefault="00A7397C" w:rsidP="00390282">
      <w:pPr>
        <w:jc w:val="both"/>
        <w:rPr>
          <w:rFonts w:ascii="Times New Roman" w:hAnsi="Times New Roman" w:cs="Times New Roman"/>
          <w:b/>
          <w:sz w:val="24"/>
          <w:szCs w:val="24"/>
        </w:rPr>
      </w:pPr>
      <w:r w:rsidRPr="00A7397C">
        <w:rPr>
          <w:rFonts w:ascii="Times New Roman" w:hAnsi="Times New Roman" w:cs="Times New Roman"/>
          <w:sz w:val="24"/>
          <w:szCs w:val="24"/>
          <w:u w:val="single"/>
        </w:rPr>
        <w:t>Zgodnie z art. 3 ww. ustawy dotychczasowemu dzierżawcy przysługuje prawo pierwokupu</w:t>
      </w:r>
      <w:r>
        <w:rPr>
          <w:rFonts w:ascii="Times New Roman" w:hAnsi="Times New Roman" w:cs="Times New Roman"/>
          <w:sz w:val="24"/>
          <w:szCs w:val="24"/>
        </w:rPr>
        <w:t>.</w:t>
      </w:r>
    </w:p>
    <w:p w:rsidR="00BE0243" w:rsidRPr="00D27224" w:rsidRDefault="001263E2" w:rsidP="00597D22">
      <w:pPr>
        <w:spacing w:after="0"/>
        <w:rPr>
          <w:rFonts w:ascii="Times New Roman" w:hAnsi="Times New Roman" w:cs="Times New Roman"/>
          <w:b/>
          <w:sz w:val="24"/>
          <w:szCs w:val="24"/>
          <w:u w:val="single"/>
        </w:rPr>
      </w:pPr>
      <w:r w:rsidRPr="00D27224">
        <w:rPr>
          <w:rFonts w:ascii="Times New Roman" w:hAnsi="Times New Roman" w:cs="Times New Roman"/>
          <w:b/>
          <w:sz w:val="24"/>
          <w:szCs w:val="24"/>
        </w:rPr>
        <w:t xml:space="preserve">Uwagi </w:t>
      </w:r>
      <w:r w:rsidRPr="00D27224">
        <w:rPr>
          <w:rFonts w:ascii="Times New Roman" w:hAnsi="Times New Roman" w:cs="Times New Roman"/>
          <w:b/>
          <w:sz w:val="24"/>
          <w:szCs w:val="24"/>
          <w:u w:val="single"/>
        </w:rPr>
        <w:t xml:space="preserve"> </w:t>
      </w:r>
    </w:p>
    <w:p w:rsidR="00D75153" w:rsidRPr="00D27224" w:rsidRDefault="00157E9C" w:rsidP="0087391A">
      <w:pPr>
        <w:pStyle w:val="Akapitzlist"/>
        <w:numPr>
          <w:ilvl w:val="0"/>
          <w:numId w:val="1"/>
        </w:numPr>
        <w:jc w:val="both"/>
        <w:rPr>
          <w:rFonts w:ascii="Times New Roman" w:hAnsi="Times New Roman" w:cs="Times New Roman"/>
          <w:sz w:val="24"/>
          <w:szCs w:val="24"/>
        </w:rPr>
      </w:pPr>
      <w:r w:rsidRPr="00D27224">
        <w:rPr>
          <w:rFonts w:ascii="Times New Roman" w:hAnsi="Times New Roman" w:cs="Times New Roman"/>
          <w:sz w:val="24"/>
          <w:szCs w:val="24"/>
        </w:rPr>
        <w:t>Na dzień sporządzenia wykazu</w:t>
      </w:r>
      <w:r w:rsidR="00DC445A" w:rsidRPr="00D27224">
        <w:rPr>
          <w:rFonts w:ascii="Times New Roman" w:hAnsi="Times New Roman" w:cs="Times New Roman"/>
          <w:sz w:val="24"/>
          <w:szCs w:val="24"/>
        </w:rPr>
        <w:t xml:space="preserve"> </w:t>
      </w:r>
      <w:r w:rsidRPr="00D27224">
        <w:rPr>
          <w:rFonts w:ascii="Times New Roman" w:hAnsi="Times New Roman" w:cs="Times New Roman"/>
          <w:sz w:val="24"/>
          <w:szCs w:val="24"/>
        </w:rPr>
        <w:t xml:space="preserve"> sprzedaż zwolniona z podatku VAT na podstawie art.43 ust.1 pkt 9 ustawy z dnia 11 marca 2004 r. </w:t>
      </w:r>
      <w:r w:rsidR="0087391A">
        <w:rPr>
          <w:rFonts w:ascii="Times New Roman" w:hAnsi="Times New Roman" w:cs="Times New Roman"/>
          <w:sz w:val="24"/>
          <w:szCs w:val="24"/>
        </w:rPr>
        <w:br/>
      </w:r>
      <w:r w:rsidRPr="00D27224">
        <w:rPr>
          <w:rFonts w:ascii="Times New Roman" w:hAnsi="Times New Roman" w:cs="Times New Roman"/>
          <w:sz w:val="24"/>
          <w:szCs w:val="24"/>
        </w:rPr>
        <w:t>o podatku od towarów i usług (</w:t>
      </w:r>
      <w:proofErr w:type="spellStart"/>
      <w:r w:rsidR="00A7397C" w:rsidRPr="00A7397C">
        <w:rPr>
          <w:rFonts w:ascii="Times New Roman" w:hAnsi="Times New Roman" w:cs="Times New Roman"/>
          <w:sz w:val="24"/>
          <w:szCs w:val="24"/>
        </w:rPr>
        <w:t>t.j</w:t>
      </w:r>
      <w:proofErr w:type="spellEnd"/>
      <w:r w:rsidR="00A7397C" w:rsidRPr="00A7397C">
        <w:rPr>
          <w:rFonts w:ascii="Times New Roman" w:hAnsi="Times New Roman" w:cs="Times New Roman"/>
          <w:sz w:val="24"/>
          <w:szCs w:val="24"/>
        </w:rPr>
        <w:t>. Dz.U. z 2021 r. poz. 685</w:t>
      </w:r>
      <w:r w:rsidR="00A7397C">
        <w:rPr>
          <w:rFonts w:ascii="Times New Roman" w:hAnsi="Times New Roman" w:cs="Times New Roman"/>
          <w:sz w:val="24"/>
          <w:szCs w:val="24"/>
        </w:rPr>
        <w:t xml:space="preserve"> </w:t>
      </w:r>
      <w:r w:rsidRPr="00D27224">
        <w:rPr>
          <w:rFonts w:ascii="Times New Roman" w:hAnsi="Times New Roman" w:cs="Times New Roman"/>
          <w:sz w:val="24"/>
          <w:szCs w:val="24"/>
        </w:rPr>
        <w:t xml:space="preserve">ze zm.). </w:t>
      </w:r>
    </w:p>
    <w:p w:rsidR="00D75153" w:rsidRPr="00D27224" w:rsidRDefault="00D75153" w:rsidP="0087391A">
      <w:pPr>
        <w:pStyle w:val="Akapitzlist"/>
        <w:numPr>
          <w:ilvl w:val="0"/>
          <w:numId w:val="1"/>
        </w:numPr>
        <w:jc w:val="both"/>
        <w:rPr>
          <w:rFonts w:ascii="Times New Roman" w:hAnsi="Times New Roman" w:cs="Times New Roman"/>
          <w:sz w:val="24"/>
          <w:szCs w:val="24"/>
        </w:rPr>
      </w:pPr>
      <w:r w:rsidRPr="00D27224">
        <w:rPr>
          <w:rFonts w:ascii="Times New Roman" w:hAnsi="Times New Roman" w:cs="Times New Roman"/>
          <w:sz w:val="24"/>
          <w:szCs w:val="24"/>
        </w:rPr>
        <w:t>Należność płatna przed zawarciem umowy notarialnej.</w:t>
      </w:r>
    </w:p>
    <w:p w:rsidR="00D75153" w:rsidRPr="00D27224" w:rsidRDefault="00D75153" w:rsidP="0087391A">
      <w:pPr>
        <w:pStyle w:val="Akapitzlist"/>
        <w:numPr>
          <w:ilvl w:val="0"/>
          <w:numId w:val="1"/>
        </w:numPr>
        <w:jc w:val="both"/>
        <w:rPr>
          <w:rFonts w:ascii="Times New Roman" w:hAnsi="Times New Roman" w:cs="Times New Roman"/>
          <w:sz w:val="24"/>
          <w:szCs w:val="24"/>
        </w:rPr>
      </w:pPr>
      <w:r w:rsidRPr="00D27224">
        <w:rPr>
          <w:rFonts w:ascii="Times New Roman" w:hAnsi="Times New Roman" w:cs="Times New Roman"/>
          <w:sz w:val="24"/>
          <w:szCs w:val="24"/>
        </w:rPr>
        <w:t xml:space="preserve">Sprzedaż nieruchomości odbywa się według stanu prawnego uwidocznionego w ewidencji gruntów i budynków, prowadzonej przez Starostę Starogardzkiego. </w:t>
      </w:r>
    </w:p>
    <w:p w:rsidR="00D75153" w:rsidRPr="00D27224" w:rsidRDefault="00D75153" w:rsidP="0087391A">
      <w:pPr>
        <w:pStyle w:val="Akapitzlist"/>
        <w:numPr>
          <w:ilvl w:val="0"/>
          <w:numId w:val="1"/>
        </w:numPr>
        <w:jc w:val="both"/>
        <w:rPr>
          <w:rFonts w:ascii="Times New Roman" w:hAnsi="Times New Roman" w:cs="Times New Roman"/>
          <w:sz w:val="24"/>
          <w:szCs w:val="24"/>
        </w:rPr>
      </w:pPr>
      <w:r w:rsidRPr="00D27224">
        <w:rPr>
          <w:rFonts w:ascii="Times New Roman" w:hAnsi="Times New Roman" w:cs="Times New Roman"/>
          <w:sz w:val="24"/>
          <w:szCs w:val="24"/>
        </w:rPr>
        <w:t>Nabywca nieruchomości zobowiązany jest do złożenia oświadczenia, że nie będzie występował z żadnymi rosz</w:t>
      </w:r>
      <w:r w:rsidR="007E60DC">
        <w:rPr>
          <w:rFonts w:ascii="Times New Roman" w:hAnsi="Times New Roman" w:cs="Times New Roman"/>
          <w:sz w:val="24"/>
          <w:szCs w:val="24"/>
        </w:rPr>
        <w:t xml:space="preserve">czeniami wobec Gminy Skarszewy </w:t>
      </w:r>
      <w:r w:rsidRPr="00D27224">
        <w:rPr>
          <w:rFonts w:ascii="Times New Roman" w:hAnsi="Times New Roman" w:cs="Times New Roman"/>
          <w:sz w:val="24"/>
          <w:szCs w:val="24"/>
        </w:rPr>
        <w:t xml:space="preserve">z tytułu ewentualnej niezgodności w zakresie rodzaju użytków oraz ewentualnej różnicy w powierzchni sprzedawanej nieruchomości, jeżeli po sprzedaży geodeta wykaże inną powierzchnię, niż jest to oznaczone w ewidencji gruntów i budynków. </w:t>
      </w:r>
    </w:p>
    <w:p w:rsidR="00D75153" w:rsidRPr="00D27224" w:rsidRDefault="00D75153" w:rsidP="0087391A">
      <w:pPr>
        <w:pStyle w:val="Akapitzlist"/>
        <w:numPr>
          <w:ilvl w:val="0"/>
          <w:numId w:val="1"/>
        </w:numPr>
        <w:jc w:val="both"/>
        <w:rPr>
          <w:rFonts w:ascii="Times New Roman" w:hAnsi="Times New Roman" w:cs="Times New Roman"/>
          <w:sz w:val="24"/>
          <w:szCs w:val="24"/>
        </w:rPr>
      </w:pPr>
      <w:r w:rsidRPr="00D27224">
        <w:rPr>
          <w:rFonts w:ascii="Times New Roman" w:hAnsi="Times New Roman" w:cs="Times New Roman"/>
          <w:sz w:val="24"/>
          <w:szCs w:val="24"/>
        </w:rPr>
        <w:t>Okazanie punktów granicznych nieruchomości może nastąpić na wniosek i koszt Kupującego.</w:t>
      </w:r>
    </w:p>
    <w:p w:rsidR="00650E6F" w:rsidRPr="00D27224" w:rsidRDefault="00390282" w:rsidP="0085731A">
      <w:pPr>
        <w:jc w:val="both"/>
        <w:rPr>
          <w:rFonts w:ascii="Times New Roman" w:hAnsi="Times New Roman" w:cs="Times New Roman"/>
          <w:sz w:val="24"/>
          <w:szCs w:val="24"/>
        </w:rPr>
      </w:pPr>
      <w:r w:rsidRPr="00D27224">
        <w:rPr>
          <w:rFonts w:ascii="Times New Roman" w:hAnsi="Times New Roman" w:cs="Times New Roman"/>
          <w:sz w:val="24"/>
          <w:szCs w:val="24"/>
        </w:rPr>
        <w:lastRenderedPageBreak/>
        <w:t xml:space="preserve">Wykaz zostanie wywieszony na tablicy ogłoszeń Urzędu Miejskiego w Skarszewach, na stronie internetowej </w:t>
      </w:r>
      <w:hyperlink r:id="rId8" w:history="1">
        <w:r w:rsidRPr="00D27224">
          <w:rPr>
            <w:rStyle w:val="Hipercze"/>
            <w:rFonts w:ascii="Times New Roman" w:hAnsi="Times New Roman" w:cs="Times New Roman"/>
            <w:color w:val="auto"/>
            <w:sz w:val="24"/>
            <w:szCs w:val="24"/>
            <w:u w:val="none"/>
          </w:rPr>
          <w:t>www.skarszewy.pl</w:t>
        </w:r>
      </w:hyperlink>
      <w:r w:rsidRPr="00D27224">
        <w:rPr>
          <w:rFonts w:ascii="Times New Roman" w:hAnsi="Times New Roman" w:cs="Times New Roman"/>
          <w:sz w:val="24"/>
          <w:szCs w:val="24"/>
        </w:rPr>
        <w:t xml:space="preserve">, </w:t>
      </w:r>
      <w:hyperlink r:id="rId9" w:history="1">
        <w:r w:rsidRPr="00D27224">
          <w:rPr>
            <w:rStyle w:val="Hipercze"/>
            <w:rFonts w:ascii="Times New Roman" w:hAnsi="Times New Roman" w:cs="Times New Roman"/>
            <w:color w:val="auto"/>
            <w:sz w:val="24"/>
            <w:szCs w:val="24"/>
            <w:u w:val="none"/>
          </w:rPr>
          <w:t>bip.skarszewy.pl</w:t>
        </w:r>
      </w:hyperlink>
      <w:r w:rsidRPr="00D27224">
        <w:rPr>
          <w:rFonts w:ascii="Times New Roman" w:hAnsi="Times New Roman" w:cs="Times New Roman"/>
          <w:sz w:val="24"/>
          <w:szCs w:val="24"/>
        </w:rPr>
        <w:t xml:space="preserve"> oraz informacja o zamieszczeniu wykazu zostanie podana do publicznej wiadomości poprzez ogłoszenie na portalu www.monitorurzedo</w:t>
      </w:r>
      <w:r w:rsidR="006348EF" w:rsidRPr="00D27224">
        <w:rPr>
          <w:rFonts w:ascii="Times New Roman" w:hAnsi="Times New Roman" w:cs="Times New Roman"/>
          <w:sz w:val="24"/>
          <w:szCs w:val="24"/>
        </w:rPr>
        <w:t xml:space="preserve">wy.pl na okres 21 dni od dnia </w:t>
      </w:r>
      <w:r w:rsidR="00623989">
        <w:rPr>
          <w:rFonts w:ascii="Times New Roman" w:hAnsi="Times New Roman" w:cs="Times New Roman"/>
          <w:sz w:val="24"/>
          <w:szCs w:val="24"/>
        </w:rPr>
        <w:t xml:space="preserve">16 </w:t>
      </w:r>
      <w:r w:rsidR="00A7397C">
        <w:rPr>
          <w:rFonts w:ascii="Times New Roman" w:hAnsi="Times New Roman" w:cs="Times New Roman"/>
          <w:sz w:val="24"/>
          <w:szCs w:val="24"/>
        </w:rPr>
        <w:t>marca 2022</w:t>
      </w:r>
      <w:r w:rsidRPr="00D27224">
        <w:rPr>
          <w:rFonts w:ascii="Times New Roman" w:hAnsi="Times New Roman" w:cs="Times New Roman"/>
          <w:sz w:val="24"/>
          <w:szCs w:val="24"/>
        </w:rPr>
        <w:t xml:space="preserve"> r.</w:t>
      </w:r>
    </w:p>
    <w:p w:rsidR="00214700" w:rsidRPr="00D27224" w:rsidRDefault="00214700" w:rsidP="0085731A">
      <w:pPr>
        <w:jc w:val="both"/>
        <w:rPr>
          <w:rFonts w:ascii="Times New Roman" w:hAnsi="Times New Roman" w:cs="Times New Roman"/>
          <w:sz w:val="24"/>
          <w:szCs w:val="24"/>
        </w:rPr>
      </w:pPr>
      <w:r w:rsidRPr="00D27224">
        <w:rPr>
          <w:rFonts w:ascii="Times New Roman" w:hAnsi="Times New Roman" w:cs="Times New Roman"/>
          <w:sz w:val="24"/>
          <w:szCs w:val="24"/>
        </w:rPr>
        <w:t>Usta</w:t>
      </w:r>
      <w:r w:rsidR="00157E9C" w:rsidRPr="00D27224">
        <w:rPr>
          <w:rFonts w:ascii="Times New Roman" w:hAnsi="Times New Roman" w:cs="Times New Roman"/>
          <w:sz w:val="24"/>
          <w:szCs w:val="24"/>
        </w:rPr>
        <w:t xml:space="preserve">la się 6-cio tygodniowy termin licząc od </w:t>
      </w:r>
      <w:r w:rsidR="00623989" w:rsidRPr="00623989">
        <w:rPr>
          <w:rFonts w:ascii="Times New Roman" w:hAnsi="Times New Roman" w:cs="Times New Roman"/>
          <w:sz w:val="24"/>
          <w:szCs w:val="24"/>
          <w:u w:val="single"/>
        </w:rPr>
        <w:t xml:space="preserve">16 </w:t>
      </w:r>
      <w:r w:rsidR="00A7397C">
        <w:rPr>
          <w:rFonts w:ascii="Times New Roman" w:hAnsi="Times New Roman" w:cs="Times New Roman"/>
          <w:sz w:val="24"/>
          <w:szCs w:val="24"/>
          <w:u w:val="single"/>
        </w:rPr>
        <w:t>marca 2022</w:t>
      </w:r>
      <w:r w:rsidR="00157E9C" w:rsidRPr="00623989">
        <w:rPr>
          <w:rFonts w:ascii="Times New Roman" w:hAnsi="Times New Roman" w:cs="Times New Roman"/>
          <w:sz w:val="24"/>
          <w:szCs w:val="24"/>
          <w:u w:val="single"/>
        </w:rPr>
        <w:t xml:space="preserve"> r.</w:t>
      </w:r>
      <w:r w:rsidR="00157E9C" w:rsidRPr="00D27224">
        <w:rPr>
          <w:rFonts w:ascii="Times New Roman" w:hAnsi="Times New Roman" w:cs="Times New Roman"/>
          <w:sz w:val="24"/>
          <w:szCs w:val="24"/>
        </w:rPr>
        <w:t xml:space="preserve"> </w:t>
      </w:r>
      <w:r w:rsidRPr="00D27224">
        <w:rPr>
          <w:rFonts w:ascii="Times New Roman" w:hAnsi="Times New Roman" w:cs="Times New Roman"/>
          <w:sz w:val="24"/>
          <w:szCs w:val="24"/>
        </w:rPr>
        <w:t xml:space="preserve">do złożenia wniosku przez osoby, którym przysługuje pierwszeństwo </w:t>
      </w:r>
      <w:r w:rsidR="00157E9C" w:rsidRPr="00D27224">
        <w:rPr>
          <w:rFonts w:ascii="Times New Roman" w:hAnsi="Times New Roman" w:cs="Times New Roman"/>
          <w:sz w:val="24"/>
          <w:szCs w:val="24"/>
        </w:rPr>
        <w:br/>
      </w:r>
      <w:r w:rsidRPr="00D27224">
        <w:rPr>
          <w:rFonts w:ascii="Times New Roman" w:hAnsi="Times New Roman" w:cs="Times New Roman"/>
          <w:sz w:val="24"/>
          <w:szCs w:val="24"/>
        </w:rPr>
        <w:t>w nabyciu nieruchomości na podstawie art. 34 ust.</w:t>
      </w:r>
      <w:r w:rsidR="001078F5" w:rsidRPr="00D27224">
        <w:rPr>
          <w:rFonts w:ascii="Times New Roman" w:hAnsi="Times New Roman" w:cs="Times New Roman"/>
          <w:sz w:val="24"/>
          <w:szCs w:val="24"/>
        </w:rPr>
        <w:t xml:space="preserve"> </w:t>
      </w:r>
      <w:r w:rsidRPr="00D27224">
        <w:rPr>
          <w:rFonts w:ascii="Times New Roman" w:hAnsi="Times New Roman" w:cs="Times New Roman"/>
          <w:sz w:val="24"/>
          <w:szCs w:val="24"/>
        </w:rPr>
        <w:t>1 pkt 1</w:t>
      </w:r>
      <w:r w:rsidR="00E212EF" w:rsidRPr="00D27224">
        <w:rPr>
          <w:rFonts w:ascii="Times New Roman" w:hAnsi="Times New Roman" w:cs="Times New Roman"/>
          <w:sz w:val="24"/>
          <w:szCs w:val="24"/>
        </w:rPr>
        <w:t xml:space="preserve"> </w:t>
      </w:r>
      <w:r w:rsidRPr="00D27224">
        <w:rPr>
          <w:rFonts w:ascii="Times New Roman" w:hAnsi="Times New Roman" w:cs="Times New Roman"/>
          <w:sz w:val="24"/>
          <w:szCs w:val="24"/>
        </w:rPr>
        <w:t>i 2 ustawy o gospodarce nieruchomościami.</w:t>
      </w:r>
    </w:p>
    <w:p w:rsidR="00214700" w:rsidRPr="00D27224" w:rsidRDefault="00214700" w:rsidP="0085731A">
      <w:pPr>
        <w:jc w:val="both"/>
        <w:rPr>
          <w:rFonts w:ascii="Times New Roman" w:hAnsi="Times New Roman" w:cs="Times New Roman"/>
          <w:sz w:val="24"/>
          <w:szCs w:val="24"/>
        </w:rPr>
      </w:pPr>
      <w:r w:rsidRPr="00D27224">
        <w:rPr>
          <w:rFonts w:ascii="Times New Roman" w:hAnsi="Times New Roman" w:cs="Times New Roman"/>
          <w:sz w:val="24"/>
          <w:szCs w:val="24"/>
        </w:rPr>
        <w:t>P</w:t>
      </w:r>
      <w:r w:rsidR="001078F5" w:rsidRPr="00D27224">
        <w:rPr>
          <w:rFonts w:ascii="Times New Roman" w:hAnsi="Times New Roman" w:cs="Times New Roman"/>
          <w:sz w:val="24"/>
          <w:szCs w:val="24"/>
        </w:rPr>
        <w:t>ierwszeństwo przysługuje osobie</w:t>
      </w:r>
      <w:r w:rsidRPr="00D27224">
        <w:rPr>
          <w:rFonts w:ascii="Times New Roman" w:hAnsi="Times New Roman" w:cs="Times New Roman"/>
          <w:sz w:val="24"/>
          <w:szCs w:val="24"/>
        </w:rPr>
        <w:t>, która spełnia</w:t>
      </w:r>
      <w:r w:rsidR="00C1083F" w:rsidRPr="00D27224">
        <w:rPr>
          <w:rFonts w:ascii="Times New Roman" w:hAnsi="Times New Roman" w:cs="Times New Roman"/>
          <w:sz w:val="24"/>
          <w:szCs w:val="24"/>
        </w:rPr>
        <w:t xml:space="preserve"> jeden z następujących warunków</w:t>
      </w:r>
      <w:r w:rsidRPr="00D27224">
        <w:rPr>
          <w:rFonts w:ascii="Times New Roman" w:hAnsi="Times New Roman" w:cs="Times New Roman"/>
          <w:sz w:val="24"/>
          <w:szCs w:val="24"/>
        </w:rPr>
        <w:t>:</w:t>
      </w:r>
    </w:p>
    <w:p w:rsidR="00214700" w:rsidRPr="00D27224" w:rsidRDefault="00214700" w:rsidP="0085731A">
      <w:pPr>
        <w:pStyle w:val="Akapitzlist"/>
        <w:numPr>
          <w:ilvl w:val="0"/>
          <w:numId w:val="2"/>
        </w:numPr>
        <w:jc w:val="both"/>
        <w:rPr>
          <w:rFonts w:ascii="Times New Roman" w:hAnsi="Times New Roman" w:cs="Times New Roman"/>
          <w:sz w:val="24"/>
          <w:szCs w:val="24"/>
        </w:rPr>
      </w:pPr>
      <w:r w:rsidRPr="00D27224">
        <w:rPr>
          <w:rFonts w:ascii="Times New Roman" w:hAnsi="Times New Roman" w:cs="Times New Roman"/>
          <w:sz w:val="24"/>
          <w:szCs w:val="24"/>
        </w:rPr>
        <w:t>Przysługuje jej roszczenie o nabycie nieruchomości z mocy ustawy o gospodarce nieruchomościami lub odrębnych przepisów, jeżeli złoży wniosek</w:t>
      </w:r>
      <w:r w:rsidR="00D61201" w:rsidRPr="00D27224">
        <w:rPr>
          <w:rFonts w:ascii="Times New Roman" w:hAnsi="Times New Roman" w:cs="Times New Roman"/>
          <w:sz w:val="24"/>
          <w:szCs w:val="24"/>
        </w:rPr>
        <w:t xml:space="preserve"> </w:t>
      </w:r>
      <w:r w:rsidRPr="00D27224">
        <w:rPr>
          <w:rFonts w:ascii="Times New Roman" w:hAnsi="Times New Roman" w:cs="Times New Roman"/>
          <w:sz w:val="24"/>
          <w:szCs w:val="24"/>
        </w:rPr>
        <w:t>o nabycie przed u</w:t>
      </w:r>
      <w:r w:rsidR="004B7BE8" w:rsidRPr="00D27224">
        <w:rPr>
          <w:rFonts w:ascii="Times New Roman" w:hAnsi="Times New Roman" w:cs="Times New Roman"/>
          <w:sz w:val="24"/>
          <w:szCs w:val="24"/>
        </w:rPr>
        <w:t>pływem</w:t>
      </w:r>
      <w:r w:rsidRPr="00D27224">
        <w:rPr>
          <w:rFonts w:ascii="Times New Roman" w:hAnsi="Times New Roman" w:cs="Times New Roman"/>
          <w:sz w:val="24"/>
          <w:szCs w:val="24"/>
        </w:rPr>
        <w:t xml:space="preserve"> terminu</w:t>
      </w:r>
      <w:r w:rsidR="00E212EF" w:rsidRPr="00D27224">
        <w:rPr>
          <w:rFonts w:ascii="Times New Roman" w:hAnsi="Times New Roman" w:cs="Times New Roman"/>
          <w:sz w:val="24"/>
          <w:szCs w:val="24"/>
        </w:rPr>
        <w:t xml:space="preserve"> określonego w wykazie.</w:t>
      </w:r>
    </w:p>
    <w:p w:rsidR="004B7BE8" w:rsidRPr="00D27224" w:rsidRDefault="004B7BE8" w:rsidP="0085731A">
      <w:pPr>
        <w:pStyle w:val="Akapitzlist"/>
        <w:numPr>
          <w:ilvl w:val="0"/>
          <w:numId w:val="2"/>
        </w:numPr>
        <w:jc w:val="both"/>
        <w:rPr>
          <w:rFonts w:ascii="Times New Roman" w:hAnsi="Times New Roman" w:cs="Times New Roman"/>
          <w:sz w:val="24"/>
          <w:szCs w:val="24"/>
        </w:rPr>
      </w:pPr>
      <w:r w:rsidRPr="00D27224">
        <w:rPr>
          <w:rFonts w:ascii="Times New Roman" w:hAnsi="Times New Roman" w:cs="Times New Roman"/>
          <w:sz w:val="24"/>
          <w:szCs w:val="24"/>
        </w:rPr>
        <w:t>Jest poprzednim właścicielem zbywanej nieruchomości pozbawionym prawa własności tej nieruchomości przed dniem 5 grudnia 1990 r</w:t>
      </w:r>
      <w:r w:rsidR="00C1083F" w:rsidRPr="00D27224">
        <w:rPr>
          <w:rFonts w:ascii="Times New Roman" w:hAnsi="Times New Roman" w:cs="Times New Roman"/>
          <w:sz w:val="24"/>
          <w:szCs w:val="24"/>
        </w:rPr>
        <w:t>.</w:t>
      </w:r>
      <w:r w:rsidRPr="00D27224">
        <w:rPr>
          <w:rFonts w:ascii="Times New Roman" w:hAnsi="Times New Roman" w:cs="Times New Roman"/>
          <w:sz w:val="24"/>
          <w:szCs w:val="24"/>
        </w:rPr>
        <w:t xml:space="preserve">, albo jego spadkobiercą </w:t>
      </w:r>
      <w:r w:rsidR="00995857" w:rsidRPr="00D27224">
        <w:rPr>
          <w:rFonts w:ascii="Times New Roman" w:hAnsi="Times New Roman" w:cs="Times New Roman"/>
          <w:sz w:val="24"/>
          <w:szCs w:val="24"/>
        </w:rPr>
        <w:t xml:space="preserve"> jeśli złoży wniosek o nabycie </w:t>
      </w:r>
      <w:r w:rsidRPr="00D27224">
        <w:rPr>
          <w:rFonts w:ascii="Times New Roman" w:hAnsi="Times New Roman" w:cs="Times New Roman"/>
          <w:sz w:val="24"/>
          <w:szCs w:val="24"/>
        </w:rPr>
        <w:t>przed upływem terminu określonego w wykazie.</w:t>
      </w:r>
    </w:p>
    <w:p w:rsidR="00995857" w:rsidRPr="00D27224" w:rsidRDefault="004B7BE8" w:rsidP="0085731A">
      <w:pPr>
        <w:ind w:left="360"/>
        <w:jc w:val="both"/>
        <w:rPr>
          <w:rFonts w:ascii="Times New Roman" w:hAnsi="Times New Roman" w:cs="Times New Roman"/>
          <w:sz w:val="24"/>
          <w:szCs w:val="24"/>
        </w:rPr>
      </w:pPr>
      <w:r w:rsidRPr="00D27224">
        <w:rPr>
          <w:rFonts w:ascii="Times New Roman" w:hAnsi="Times New Roman" w:cs="Times New Roman"/>
          <w:sz w:val="24"/>
          <w:szCs w:val="24"/>
        </w:rPr>
        <w:t>Osoby o których mowa pow</w:t>
      </w:r>
      <w:r w:rsidR="007E60DC">
        <w:rPr>
          <w:rFonts w:ascii="Times New Roman" w:hAnsi="Times New Roman" w:cs="Times New Roman"/>
          <w:sz w:val="24"/>
          <w:szCs w:val="24"/>
        </w:rPr>
        <w:t>yżej korzystają z pierwszeństwa</w:t>
      </w:r>
      <w:r w:rsidRPr="00D27224">
        <w:rPr>
          <w:rFonts w:ascii="Times New Roman" w:hAnsi="Times New Roman" w:cs="Times New Roman"/>
          <w:sz w:val="24"/>
          <w:szCs w:val="24"/>
        </w:rPr>
        <w:t xml:space="preserve"> w nabyciu nieruchomości, jeżeli złożą oświadczenie, że wyrażają zgodę na cenę i warun</w:t>
      </w:r>
      <w:r w:rsidR="007E60DC">
        <w:rPr>
          <w:rFonts w:ascii="Times New Roman" w:hAnsi="Times New Roman" w:cs="Times New Roman"/>
          <w:sz w:val="24"/>
          <w:szCs w:val="24"/>
        </w:rPr>
        <w:t>ki podane w niniejszym wykazie.</w:t>
      </w:r>
    </w:p>
    <w:p w:rsidR="0085731A" w:rsidRDefault="00995857" w:rsidP="0085731A">
      <w:pPr>
        <w:ind w:left="360"/>
        <w:jc w:val="right"/>
        <w:rPr>
          <w:rFonts w:ascii="Times New Roman" w:hAnsi="Times New Roman" w:cs="Times New Roman"/>
          <w:sz w:val="24"/>
        </w:rPr>
      </w:pPr>
      <w:r w:rsidRPr="00CF06EA">
        <w:rPr>
          <w:rFonts w:ascii="Times New Roman" w:hAnsi="Times New Roman" w:cs="Times New Roman"/>
        </w:rPr>
        <w:t xml:space="preserve"> </w:t>
      </w:r>
      <w:r w:rsidR="00623989">
        <w:rPr>
          <w:rFonts w:ascii="Times New Roman" w:hAnsi="Times New Roman" w:cs="Times New Roman"/>
          <w:sz w:val="24"/>
        </w:rPr>
        <w:t>BURMISTRZ</w:t>
      </w:r>
    </w:p>
    <w:p w:rsidR="00623989" w:rsidRDefault="00623989" w:rsidP="0085731A">
      <w:pPr>
        <w:ind w:left="360"/>
        <w:jc w:val="right"/>
        <w:rPr>
          <w:rFonts w:ascii="Times New Roman" w:hAnsi="Times New Roman" w:cs="Times New Roman"/>
          <w:sz w:val="24"/>
        </w:rPr>
      </w:pPr>
    </w:p>
    <w:p w:rsidR="00623989" w:rsidRPr="0085731A" w:rsidRDefault="00623989" w:rsidP="0085731A">
      <w:pPr>
        <w:ind w:left="360"/>
        <w:jc w:val="right"/>
        <w:rPr>
          <w:rFonts w:ascii="Times New Roman" w:hAnsi="Times New Roman" w:cs="Times New Roman"/>
          <w:sz w:val="24"/>
        </w:rPr>
      </w:pPr>
    </w:p>
    <w:p w:rsidR="00995857" w:rsidRDefault="00623989" w:rsidP="0085731A">
      <w:pPr>
        <w:ind w:left="11340" w:firstLine="348"/>
        <w:jc w:val="center"/>
        <w:rPr>
          <w:rFonts w:ascii="Times New Roman" w:hAnsi="Times New Roman" w:cs="Times New Roman"/>
          <w:sz w:val="24"/>
        </w:rPr>
      </w:pPr>
      <w:r>
        <w:rPr>
          <w:rFonts w:ascii="Times New Roman" w:hAnsi="Times New Roman" w:cs="Times New Roman"/>
          <w:sz w:val="24"/>
        </w:rPr>
        <w:t xml:space="preserve">             Jacek Pauli</w:t>
      </w:r>
    </w:p>
    <w:p w:rsidR="00623989" w:rsidRPr="00CF06EA" w:rsidRDefault="00623989" w:rsidP="00623989">
      <w:pPr>
        <w:tabs>
          <w:tab w:val="left" w:pos="0"/>
        </w:tabs>
        <w:rPr>
          <w:rFonts w:ascii="Times New Roman" w:hAnsi="Times New Roman" w:cs="Times New Roman"/>
          <w:sz w:val="24"/>
        </w:rPr>
      </w:pPr>
      <w:r>
        <w:rPr>
          <w:rFonts w:ascii="Times New Roman" w:hAnsi="Times New Roman" w:cs="Times New Roman"/>
          <w:sz w:val="24"/>
        </w:rPr>
        <w:t xml:space="preserve">Skarszewy, </w:t>
      </w:r>
      <w:r w:rsidR="00A7397C">
        <w:rPr>
          <w:rFonts w:ascii="Times New Roman" w:hAnsi="Times New Roman" w:cs="Times New Roman"/>
          <w:sz w:val="24"/>
        </w:rPr>
        <w:t>15 marca 2022</w:t>
      </w:r>
      <w:r>
        <w:rPr>
          <w:rFonts w:ascii="Times New Roman" w:hAnsi="Times New Roman" w:cs="Times New Roman"/>
          <w:sz w:val="24"/>
        </w:rPr>
        <w:t xml:space="preserve"> r.</w:t>
      </w:r>
    </w:p>
    <w:sectPr w:rsidR="00623989" w:rsidRPr="00CF06EA" w:rsidSect="00623989">
      <w:headerReference w:type="default" r:id="rId10"/>
      <w:headerReference w:type="first" r:id="rId11"/>
      <w:pgSz w:w="16838" w:h="11906" w:orient="landscape"/>
      <w:pgMar w:top="1418" w:right="1418" w:bottom="1134"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A05" w:rsidRDefault="007B3A05" w:rsidP="00536FDB">
      <w:pPr>
        <w:spacing w:after="0" w:line="240" w:lineRule="auto"/>
      </w:pPr>
      <w:r>
        <w:separator/>
      </w:r>
    </w:p>
  </w:endnote>
  <w:endnote w:type="continuationSeparator" w:id="0">
    <w:p w:rsidR="007B3A05" w:rsidRDefault="007B3A05" w:rsidP="0053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żyj czcionki tekstu azjatyck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A05" w:rsidRDefault="007B3A05" w:rsidP="00536FDB">
      <w:pPr>
        <w:spacing w:after="0" w:line="240" w:lineRule="auto"/>
      </w:pPr>
      <w:r>
        <w:separator/>
      </w:r>
    </w:p>
  </w:footnote>
  <w:footnote w:type="continuationSeparator" w:id="0">
    <w:p w:rsidR="007B3A05" w:rsidRDefault="007B3A05" w:rsidP="00536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D6" w:rsidRDefault="00410CD6" w:rsidP="00213AE0">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E6" w:rsidRDefault="00186CBB" w:rsidP="00DC4B12">
    <w:pPr>
      <w:pStyle w:val="Nagwek"/>
      <w:tabs>
        <w:tab w:val="clear" w:pos="4536"/>
        <w:tab w:val="center" w:pos="7230"/>
      </w:tabs>
      <w:ind w:left="7938"/>
      <w:jc w:val="both"/>
    </w:pPr>
    <w:r>
      <w:t>Z</w:t>
    </w:r>
    <w:r w:rsidR="00213AE0" w:rsidRPr="00213AE0">
      <w:t>ałącznik do  Zarządze</w:t>
    </w:r>
    <w:r w:rsidR="007962A4">
      <w:t xml:space="preserve">nia Burmistrza Skarszew nr </w:t>
    </w:r>
    <w:r w:rsidR="00E32E6B">
      <w:t>58</w:t>
    </w:r>
    <w:r w:rsidR="00EB748F">
      <w:t>/</w:t>
    </w:r>
    <w:proofErr w:type="spellStart"/>
    <w:r w:rsidR="00DC4B12">
      <w:t>R</w:t>
    </w:r>
    <w:r w:rsidR="00EB748F">
      <w:t>PPiN</w:t>
    </w:r>
    <w:proofErr w:type="spellEnd"/>
    <w:r w:rsidR="001624F2">
      <w:t>/</w:t>
    </w:r>
    <w:r w:rsidR="00BD5E5F">
      <w:t>20</w:t>
    </w:r>
    <w:r w:rsidR="00EF48D2">
      <w:t>2</w:t>
    </w:r>
    <w:r w:rsidR="006F4B09">
      <w:t>2</w:t>
    </w:r>
    <w:r w:rsidR="001624F2">
      <w:t xml:space="preserve"> </w:t>
    </w:r>
    <w:r w:rsidR="00DC4B12">
      <w:br/>
    </w:r>
    <w:r w:rsidR="00213AE0" w:rsidRPr="00213AE0">
      <w:t xml:space="preserve">z dnia </w:t>
    </w:r>
    <w:r w:rsidR="006F4B09">
      <w:t>15 marca 2022</w:t>
    </w:r>
    <w:r w:rsidR="00D55F03">
      <w:t xml:space="preserve"> r.</w:t>
    </w:r>
    <w:r w:rsidR="00DC4B12">
      <w:t xml:space="preserve"> </w:t>
    </w:r>
    <w:r w:rsidR="00DC4B12" w:rsidRPr="00DC4B12">
      <w:t>w sprawie sprzedaży nieruchomości gruntowej niezabudowanej, stanowiącej własność Gminy Skarszewy w trybie ustnego przetargu ograniczonego</w:t>
    </w:r>
  </w:p>
  <w:p w:rsidR="00F10FE6" w:rsidRPr="00213AE0" w:rsidRDefault="00F10FE6" w:rsidP="00213AE0">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02ADD"/>
    <w:multiLevelType w:val="hybridMultilevel"/>
    <w:tmpl w:val="91607E5A"/>
    <w:lvl w:ilvl="0" w:tplc="B5D09C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64E421B"/>
    <w:multiLevelType w:val="hybridMultilevel"/>
    <w:tmpl w:val="7D988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E27"/>
    <w:rsid w:val="00041F41"/>
    <w:rsid w:val="00043D69"/>
    <w:rsid w:val="000805B8"/>
    <w:rsid w:val="000912C9"/>
    <w:rsid w:val="000C0070"/>
    <w:rsid w:val="000D4AE6"/>
    <w:rsid w:val="000E22D0"/>
    <w:rsid w:val="000E666A"/>
    <w:rsid w:val="000F27AD"/>
    <w:rsid w:val="0010561D"/>
    <w:rsid w:val="001078F5"/>
    <w:rsid w:val="00114154"/>
    <w:rsid w:val="001263E2"/>
    <w:rsid w:val="00153B0A"/>
    <w:rsid w:val="001579A7"/>
    <w:rsid w:val="00157E9C"/>
    <w:rsid w:val="001624F2"/>
    <w:rsid w:val="0016460E"/>
    <w:rsid w:val="00186CBB"/>
    <w:rsid w:val="00187F26"/>
    <w:rsid w:val="0019068F"/>
    <w:rsid w:val="001C45F7"/>
    <w:rsid w:val="001C5D5B"/>
    <w:rsid w:val="001E696F"/>
    <w:rsid w:val="001F0C87"/>
    <w:rsid w:val="00213AE0"/>
    <w:rsid w:val="00214700"/>
    <w:rsid w:val="00227AC0"/>
    <w:rsid w:val="00246EE1"/>
    <w:rsid w:val="0025619B"/>
    <w:rsid w:val="0026208B"/>
    <w:rsid w:val="002657AE"/>
    <w:rsid w:val="00275140"/>
    <w:rsid w:val="002C1FA1"/>
    <w:rsid w:val="002D3831"/>
    <w:rsid w:val="002E5907"/>
    <w:rsid w:val="002E5E88"/>
    <w:rsid w:val="00317482"/>
    <w:rsid w:val="00320B62"/>
    <w:rsid w:val="00327966"/>
    <w:rsid w:val="00335595"/>
    <w:rsid w:val="00344C63"/>
    <w:rsid w:val="00347E69"/>
    <w:rsid w:val="00351D70"/>
    <w:rsid w:val="003671AF"/>
    <w:rsid w:val="00385F34"/>
    <w:rsid w:val="00390282"/>
    <w:rsid w:val="00392C24"/>
    <w:rsid w:val="003C1B7B"/>
    <w:rsid w:val="00410AE9"/>
    <w:rsid w:val="00410CD6"/>
    <w:rsid w:val="0042238A"/>
    <w:rsid w:val="00440356"/>
    <w:rsid w:val="0045758F"/>
    <w:rsid w:val="004755C0"/>
    <w:rsid w:val="00481637"/>
    <w:rsid w:val="004A1529"/>
    <w:rsid w:val="004B59EA"/>
    <w:rsid w:val="004B7BE8"/>
    <w:rsid w:val="004C1B32"/>
    <w:rsid w:val="004E1010"/>
    <w:rsid w:val="00502F74"/>
    <w:rsid w:val="0050512F"/>
    <w:rsid w:val="00535E2E"/>
    <w:rsid w:val="00536FDB"/>
    <w:rsid w:val="00566FC8"/>
    <w:rsid w:val="00584111"/>
    <w:rsid w:val="00587E48"/>
    <w:rsid w:val="00591128"/>
    <w:rsid w:val="00597D22"/>
    <w:rsid w:val="005B2088"/>
    <w:rsid w:val="005B4F55"/>
    <w:rsid w:val="005C1AF0"/>
    <w:rsid w:val="005F6BC8"/>
    <w:rsid w:val="00600A31"/>
    <w:rsid w:val="0061431D"/>
    <w:rsid w:val="00623989"/>
    <w:rsid w:val="006348EF"/>
    <w:rsid w:val="00650E6F"/>
    <w:rsid w:val="00653162"/>
    <w:rsid w:val="00697555"/>
    <w:rsid w:val="006A401C"/>
    <w:rsid w:val="006B0A92"/>
    <w:rsid w:val="006F19A6"/>
    <w:rsid w:val="006F4B09"/>
    <w:rsid w:val="00717469"/>
    <w:rsid w:val="00741158"/>
    <w:rsid w:val="00755371"/>
    <w:rsid w:val="007962A4"/>
    <w:rsid w:val="007A771A"/>
    <w:rsid w:val="007A79E7"/>
    <w:rsid w:val="007B3A05"/>
    <w:rsid w:val="007C2B0C"/>
    <w:rsid w:val="007E60DC"/>
    <w:rsid w:val="008018FC"/>
    <w:rsid w:val="00815ACD"/>
    <w:rsid w:val="00842893"/>
    <w:rsid w:val="0085731A"/>
    <w:rsid w:val="0087391A"/>
    <w:rsid w:val="00876069"/>
    <w:rsid w:val="00890971"/>
    <w:rsid w:val="008B2561"/>
    <w:rsid w:val="008D6617"/>
    <w:rsid w:val="008D7BA5"/>
    <w:rsid w:val="008E22B9"/>
    <w:rsid w:val="00923CAC"/>
    <w:rsid w:val="0093389C"/>
    <w:rsid w:val="009449C0"/>
    <w:rsid w:val="00962410"/>
    <w:rsid w:val="00990B55"/>
    <w:rsid w:val="00995857"/>
    <w:rsid w:val="009A4E27"/>
    <w:rsid w:val="009C66AB"/>
    <w:rsid w:val="009C792E"/>
    <w:rsid w:val="009E4161"/>
    <w:rsid w:val="009F4ECE"/>
    <w:rsid w:val="00A42262"/>
    <w:rsid w:val="00A44F60"/>
    <w:rsid w:val="00A542A6"/>
    <w:rsid w:val="00A61F6E"/>
    <w:rsid w:val="00A7397C"/>
    <w:rsid w:val="00A811D6"/>
    <w:rsid w:val="00A81FEE"/>
    <w:rsid w:val="00AA2C3C"/>
    <w:rsid w:val="00AD1735"/>
    <w:rsid w:val="00AE4A83"/>
    <w:rsid w:val="00AE6C6E"/>
    <w:rsid w:val="00AE7431"/>
    <w:rsid w:val="00B06A3A"/>
    <w:rsid w:val="00B27E11"/>
    <w:rsid w:val="00B343E0"/>
    <w:rsid w:val="00B526EA"/>
    <w:rsid w:val="00BB1457"/>
    <w:rsid w:val="00BC5F2D"/>
    <w:rsid w:val="00BD5E5F"/>
    <w:rsid w:val="00BE0243"/>
    <w:rsid w:val="00C1083F"/>
    <w:rsid w:val="00C44928"/>
    <w:rsid w:val="00C51D50"/>
    <w:rsid w:val="00C7027B"/>
    <w:rsid w:val="00C741A2"/>
    <w:rsid w:val="00C75EAB"/>
    <w:rsid w:val="00C80A15"/>
    <w:rsid w:val="00CD1581"/>
    <w:rsid w:val="00CE3ABF"/>
    <w:rsid w:val="00CF06EA"/>
    <w:rsid w:val="00D00103"/>
    <w:rsid w:val="00D0617A"/>
    <w:rsid w:val="00D07D4A"/>
    <w:rsid w:val="00D27224"/>
    <w:rsid w:val="00D47973"/>
    <w:rsid w:val="00D52FBF"/>
    <w:rsid w:val="00D55F03"/>
    <w:rsid w:val="00D61201"/>
    <w:rsid w:val="00D75153"/>
    <w:rsid w:val="00D77E74"/>
    <w:rsid w:val="00D90CC3"/>
    <w:rsid w:val="00D94610"/>
    <w:rsid w:val="00DA3BFA"/>
    <w:rsid w:val="00DA66E7"/>
    <w:rsid w:val="00DB2C92"/>
    <w:rsid w:val="00DC445A"/>
    <w:rsid w:val="00DC4B12"/>
    <w:rsid w:val="00E212EF"/>
    <w:rsid w:val="00E32E6B"/>
    <w:rsid w:val="00E36904"/>
    <w:rsid w:val="00E536A5"/>
    <w:rsid w:val="00E66ADB"/>
    <w:rsid w:val="00E8115B"/>
    <w:rsid w:val="00EA1D67"/>
    <w:rsid w:val="00EA397F"/>
    <w:rsid w:val="00EB5821"/>
    <w:rsid w:val="00EB748F"/>
    <w:rsid w:val="00EC5CBA"/>
    <w:rsid w:val="00EC7A77"/>
    <w:rsid w:val="00EE020E"/>
    <w:rsid w:val="00EE5EC5"/>
    <w:rsid w:val="00EF48D2"/>
    <w:rsid w:val="00F07826"/>
    <w:rsid w:val="00F10FE6"/>
    <w:rsid w:val="00F22B7E"/>
    <w:rsid w:val="00F54E0F"/>
    <w:rsid w:val="00F629EE"/>
    <w:rsid w:val="00F7271D"/>
    <w:rsid w:val="00FA01FC"/>
    <w:rsid w:val="00FA2FAB"/>
    <w:rsid w:val="00FC70D7"/>
    <w:rsid w:val="00FD70A1"/>
    <w:rsid w:val="00FD7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A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1263E2"/>
    <w:pPr>
      <w:ind w:left="720"/>
      <w:contextualSpacing/>
    </w:pPr>
  </w:style>
  <w:style w:type="paragraph" w:styleId="Tekstdymka">
    <w:name w:val="Balloon Text"/>
    <w:basedOn w:val="Normalny"/>
    <w:link w:val="TekstdymkaZnak"/>
    <w:uiPriority w:val="99"/>
    <w:semiHidden/>
    <w:unhideWhenUsed/>
    <w:rsid w:val="004B7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7BE8"/>
    <w:rPr>
      <w:rFonts w:ascii="Tahoma" w:hAnsi="Tahoma" w:cs="Tahoma"/>
      <w:sz w:val="16"/>
      <w:szCs w:val="16"/>
    </w:rPr>
  </w:style>
  <w:style w:type="paragraph" w:styleId="Nagwek">
    <w:name w:val="header"/>
    <w:basedOn w:val="Normalny"/>
    <w:link w:val="NagwekZnak"/>
    <w:uiPriority w:val="99"/>
    <w:unhideWhenUsed/>
    <w:rsid w:val="00536F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FDB"/>
  </w:style>
  <w:style w:type="paragraph" w:styleId="Stopka">
    <w:name w:val="footer"/>
    <w:basedOn w:val="Normalny"/>
    <w:link w:val="StopkaZnak"/>
    <w:uiPriority w:val="99"/>
    <w:unhideWhenUsed/>
    <w:rsid w:val="00536F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FDB"/>
  </w:style>
  <w:style w:type="character" w:styleId="Hipercze">
    <w:name w:val="Hyperlink"/>
    <w:basedOn w:val="Domylnaczcionkaakapitu"/>
    <w:uiPriority w:val="99"/>
    <w:unhideWhenUsed/>
    <w:rsid w:val="008D6617"/>
    <w:rPr>
      <w:color w:val="0000FF" w:themeColor="hyperlink"/>
      <w:u w:val="single"/>
    </w:rPr>
  </w:style>
  <w:style w:type="paragraph" w:styleId="Tekstpodstawowy">
    <w:name w:val="Body Text"/>
    <w:basedOn w:val="Normalny"/>
    <w:link w:val="TekstpodstawowyZnak"/>
    <w:rsid w:val="00FA01FC"/>
    <w:pPr>
      <w:spacing w:after="120" w:line="240" w:lineRule="auto"/>
    </w:pPr>
    <w:rPr>
      <w:rFonts w:ascii="(Użyj czcionki tekstu azjatycki" w:eastAsia="SimSun" w:hAnsi="(Użyj czcionki tekstu azjatycki" w:cs="Times New Roman"/>
      <w:bCs/>
      <w:sz w:val="24"/>
      <w:szCs w:val="24"/>
      <w:lang w:eastAsia="zh-CN"/>
    </w:rPr>
  </w:style>
  <w:style w:type="character" w:customStyle="1" w:styleId="TekstpodstawowyZnak">
    <w:name w:val="Tekst podstawowy Znak"/>
    <w:basedOn w:val="Domylnaczcionkaakapitu"/>
    <w:link w:val="Tekstpodstawowy"/>
    <w:rsid w:val="00FA01FC"/>
    <w:rPr>
      <w:rFonts w:ascii="(Użyj czcionki tekstu azjatycki" w:eastAsia="SimSun" w:hAnsi="(Użyj czcionki tekstu azjatycki" w:cs="Times New Roman"/>
      <w:b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A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1263E2"/>
    <w:pPr>
      <w:ind w:left="720"/>
      <w:contextualSpacing/>
    </w:pPr>
  </w:style>
  <w:style w:type="paragraph" w:styleId="Tekstdymka">
    <w:name w:val="Balloon Text"/>
    <w:basedOn w:val="Normalny"/>
    <w:link w:val="TekstdymkaZnak"/>
    <w:uiPriority w:val="99"/>
    <w:semiHidden/>
    <w:unhideWhenUsed/>
    <w:rsid w:val="004B7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7BE8"/>
    <w:rPr>
      <w:rFonts w:ascii="Tahoma" w:hAnsi="Tahoma" w:cs="Tahoma"/>
      <w:sz w:val="16"/>
      <w:szCs w:val="16"/>
    </w:rPr>
  </w:style>
  <w:style w:type="paragraph" w:styleId="Nagwek">
    <w:name w:val="header"/>
    <w:basedOn w:val="Normalny"/>
    <w:link w:val="NagwekZnak"/>
    <w:uiPriority w:val="99"/>
    <w:unhideWhenUsed/>
    <w:rsid w:val="00536F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FDB"/>
  </w:style>
  <w:style w:type="paragraph" w:styleId="Stopka">
    <w:name w:val="footer"/>
    <w:basedOn w:val="Normalny"/>
    <w:link w:val="StopkaZnak"/>
    <w:uiPriority w:val="99"/>
    <w:unhideWhenUsed/>
    <w:rsid w:val="00536F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6FDB"/>
  </w:style>
  <w:style w:type="character" w:styleId="Hipercze">
    <w:name w:val="Hyperlink"/>
    <w:basedOn w:val="Domylnaczcionkaakapitu"/>
    <w:uiPriority w:val="99"/>
    <w:unhideWhenUsed/>
    <w:rsid w:val="008D6617"/>
    <w:rPr>
      <w:color w:val="0000FF" w:themeColor="hyperlink"/>
      <w:u w:val="single"/>
    </w:rPr>
  </w:style>
  <w:style w:type="paragraph" w:styleId="Tekstpodstawowy">
    <w:name w:val="Body Text"/>
    <w:basedOn w:val="Normalny"/>
    <w:link w:val="TekstpodstawowyZnak"/>
    <w:rsid w:val="00FA01FC"/>
    <w:pPr>
      <w:spacing w:after="120" w:line="240" w:lineRule="auto"/>
    </w:pPr>
    <w:rPr>
      <w:rFonts w:ascii="(Użyj czcionki tekstu azjatycki" w:eastAsia="SimSun" w:hAnsi="(Użyj czcionki tekstu azjatycki" w:cs="Times New Roman"/>
      <w:bCs/>
      <w:sz w:val="24"/>
      <w:szCs w:val="24"/>
      <w:lang w:eastAsia="zh-CN"/>
    </w:rPr>
  </w:style>
  <w:style w:type="character" w:customStyle="1" w:styleId="TekstpodstawowyZnak">
    <w:name w:val="Tekst podstawowy Znak"/>
    <w:basedOn w:val="Domylnaczcionkaakapitu"/>
    <w:link w:val="Tekstpodstawowy"/>
    <w:rsid w:val="00FA01FC"/>
    <w:rPr>
      <w:rFonts w:ascii="(Użyj czcionki tekstu azjatycki" w:eastAsia="SimSun" w:hAnsi="(Użyj czcionki tekstu azjatycki" w:cs="Times New Roman"/>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rszewy.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skarszew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5264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espierewka</dc:creator>
  <cp:lastModifiedBy>MPstrag</cp:lastModifiedBy>
  <cp:revision>2</cp:revision>
  <cp:lastPrinted>2022-03-15T10:46:00Z</cp:lastPrinted>
  <dcterms:created xsi:type="dcterms:W3CDTF">2022-03-15T12:56:00Z</dcterms:created>
  <dcterms:modified xsi:type="dcterms:W3CDTF">2022-03-15T12:56:00Z</dcterms:modified>
</cp:coreProperties>
</file>